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7897" w14:textId="451422E1" w:rsidR="00BA5ECB" w:rsidRPr="001D3E45" w:rsidRDefault="00241EA9" w:rsidP="00BA5ECB">
      <w:pPr>
        <w:jc w:val="center"/>
        <w:rPr>
          <w:rFonts w:ascii="Century Gothic" w:hAnsi="Century Gothic" w:cs="Arial"/>
          <w:b/>
        </w:rPr>
      </w:pPr>
      <w:r w:rsidRPr="001D3E45">
        <w:rPr>
          <w:rFonts w:ascii="Century Gothic" w:hAnsi="Century Gothic" w:cs="Arial"/>
          <w:b/>
        </w:rPr>
        <w:t>Lista de chequeo de inducción</w:t>
      </w:r>
    </w:p>
    <w:p w14:paraId="465343F2" w14:textId="34BA0C7D" w:rsidR="00BA5ECB" w:rsidRPr="001D3E45" w:rsidRDefault="00A7394F" w:rsidP="29423E7F">
      <w:pPr>
        <w:spacing w:line="240" w:lineRule="auto"/>
        <w:jc w:val="both"/>
        <w:rPr>
          <w:rFonts w:ascii="Century Gothic" w:hAnsi="Century Gothic" w:cs="Arial"/>
        </w:rPr>
      </w:pPr>
      <w:r w:rsidRPr="001D3E45">
        <w:rPr>
          <w:rFonts w:ascii="Century Gothic" w:hAnsi="Century Gothic" w:cs="Arial"/>
        </w:rPr>
        <w:t xml:space="preserve">El presente listado corresponde a las actividades </w:t>
      </w:r>
      <w:r w:rsidR="004413A5" w:rsidRPr="001D3E45">
        <w:rPr>
          <w:rFonts w:ascii="Century Gothic" w:hAnsi="Century Gothic" w:cs="Arial"/>
        </w:rPr>
        <w:t xml:space="preserve">que la Dirección de Recursos Humanos del MEP recomienda realizar por parte de </w:t>
      </w:r>
      <w:r w:rsidR="00CE3FF7" w:rsidRPr="001D3E45">
        <w:rPr>
          <w:rFonts w:ascii="Century Gothic" w:hAnsi="Century Gothic" w:cs="Arial"/>
        </w:rPr>
        <w:t>las jefaturas</w:t>
      </w:r>
      <w:r w:rsidR="00037C58" w:rsidRPr="001D3E45">
        <w:rPr>
          <w:rFonts w:ascii="Century Gothic" w:hAnsi="Century Gothic" w:cs="Arial"/>
        </w:rPr>
        <w:t xml:space="preserve">, cada vez que </w:t>
      </w:r>
      <w:r w:rsidR="00B974D6" w:rsidRPr="001D3E45">
        <w:rPr>
          <w:rFonts w:ascii="Century Gothic" w:hAnsi="Century Gothic" w:cs="Arial"/>
        </w:rPr>
        <w:t xml:space="preserve">las </w:t>
      </w:r>
      <w:r w:rsidR="003B3786" w:rsidRPr="001D3E45">
        <w:rPr>
          <w:rFonts w:ascii="Century Gothic" w:hAnsi="Century Gothic" w:cs="Arial"/>
        </w:rPr>
        <w:t xml:space="preserve">personas funcionarias inician labores en la institución o instancia a su cargo, a fin de proveer una experiencia de ingreso beneficiosa para </w:t>
      </w:r>
      <w:r w:rsidR="00492B0E" w:rsidRPr="001D3E45">
        <w:rPr>
          <w:rFonts w:ascii="Century Gothic" w:hAnsi="Century Gothic" w:cs="Arial"/>
        </w:rPr>
        <w:t>ambas partes.</w:t>
      </w:r>
    </w:p>
    <w:p w14:paraId="48FF84F8" w14:textId="738209B5" w:rsidR="00CE3FF7" w:rsidRPr="001D3E45" w:rsidRDefault="00CE3FF7" w:rsidP="74FDB888">
      <w:pPr>
        <w:spacing w:line="240" w:lineRule="auto"/>
        <w:jc w:val="both"/>
        <w:rPr>
          <w:rFonts w:ascii="Century Gothic" w:hAnsi="Century Gothic" w:cs="Arial"/>
        </w:rPr>
      </w:pPr>
      <w:r w:rsidRPr="001D3E45">
        <w:rPr>
          <w:rFonts w:ascii="Century Gothic" w:hAnsi="Century Gothic" w:cs="Arial"/>
        </w:rPr>
        <w:t xml:space="preserve">Queda a discreción de las jefaturas </w:t>
      </w:r>
      <w:r w:rsidR="006E0AFA" w:rsidRPr="001D3E45">
        <w:rPr>
          <w:rFonts w:ascii="Century Gothic" w:hAnsi="Century Gothic" w:cs="Arial"/>
        </w:rPr>
        <w:t xml:space="preserve">delegar </w:t>
      </w:r>
      <w:r w:rsidR="00E97DCA" w:rsidRPr="001D3E45">
        <w:rPr>
          <w:rFonts w:ascii="Century Gothic" w:hAnsi="Century Gothic" w:cs="Arial"/>
        </w:rPr>
        <w:t>estas</w:t>
      </w:r>
      <w:r w:rsidR="00D73444" w:rsidRPr="001D3E45">
        <w:rPr>
          <w:rFonts w:ascii="Century Gothic" w:hAnsi="Century Gothic" w:cs="Arial"/>
        </w:rPr>
        <w:t xml:space="preserve"> actividades de acompañamiento </w:t>
      </w:r>
      <w:r w:rsidR="006E0AFA" w:rsidRPr="001D3E45">
        <w:rPr>
          <w:rFonts w:ascii="Century Gothic" w:hAnsi="Century Gothic" w:cs="Arial"/>
        </w:rPr>
        <w:t xml:space="preserve">e inducción </w:t>
      </w:r>
      <w:r w:rsidR="00D73444" w:rsidRPr="001D3E45">
        <w:rPr>
          <w:rFonts w:ascii="Century Gothic" w:hAnsi="Century Gothic" w:cs="Arial"/>
        </w:rPr>
        <w:t>de</w:t>
      </w:r>
      <w:r w:rsidR="006E0AFA" w:rsidRPr="001D3E45">
        <w:rPr>
          <w:rFonts w:ascii="Century Gothic" w:hAnsi="Century Gothic" w:cs="Arial"/>
        </w:rPr>
        <w:t xml:space="preserve"> las nuevas personas funcionarias en algún colaborador o colaboradora a quien denominará </w:t>
      </w:r>
      <w:r w:rsidR="00D73444" w:rsidRPr="001D3E45">
        <w:rPr>
          <w:rFonts w:ascii="Century Gothic" w:hAnsi="Century Gothic" w:cs="Arial"/>
        </w:rPr>
        <w:t>“</w:t>
      </w:r>
      <w:r w:rsidR="006E0AFA" w:rsidRPr="001D3E45">
        <w:rPr>
          <w:rFonts w:ascii="Century Gothic" w:hAnsi="Century Gothic" w:cs="Arial"/>
        </w:rPr>
        <w:t>persona tutora de inducción</w:t>
      </w:r>
      <w:r w:rsidR="00D73444" w:rsidRPr="001D3E45">
        <w:rPr>
          <w:rFonts w:ascii="Century Gothic" w:hAnsi="Century Gothic" w:cs="Arial"/>
        </w:rPr>
        <w:t>”</w:t>
      </w:r>
      <w:r w:rsidR="69894D9A" w:rsidRPr="001D3E45">
        <w:rPr>
          <w:rFonts w:ascii="Century Gothic" w:hAnsi="Century Gothic" w:cs="Arial"/>
        </w:rPr>
        <w:t xml:space="preserve"> (ver perfil recomendado dentro de la “Guía para las jefaturas”)</w:t>
      </w:r>
      <w:r w:rsidR="006E0AFA" w:rsidRPr="001D3E45">
        <w:rPr>
          <w:rFonts w:ascii="Century Gothic" w:hAnsi="Century Gothic" w:cs="Arial"/>
        </w:rPr>
        <w:t>.</w:t>
      </w:r>
    </w:p>
    <w:p w14:paraId="47930A3B" w14:textId="487972CA" w:rsidR="00B53248" w:rsidRPr="001D3E45" w:rsidRDefault="0058753F" w:rsidP="74FDB888">
      <w:pPr>
        <w:spacing w:line="240" w:lineRule="auto"/>
        <w:jc w:val="both"/>
        <w:rPr>
          <w:rFonts w:ascii="Century Gothic" w:hAnsi="Century Gothic" w:cs="Arial"/>
        </w:rPr>
      </w:pPr>
      <w:r w:rsidRPr="001D3E45">
        <w:rPr>
          <w:rFonts w:ascii="Century Gothic" w:hAnsi="Century Gothic" w:cs="Arial"/>
        </w:rPr>
        <w:t>El presente material y la información disponible en el s</w:t>
      </w:r>
      <w:r w:rsidR="00D81D10" w:rsidRPr="001D3E45">
        <w:rPr>
          <w:rFonts w:ascii="Century Gothic" w:hAnsi="Century Gothic" w:cs="Arial"/>
        </w:rPr>
        <w:t>itio w</w:t>
      </w:r>
      <w:r w:rsidRPr="001D3E45">
        <w:rPr>
          <w:rFonts w:ascii="Century Gothic" w:hAnsi="Century Gothic" w:cs="Arial"/>
        </w:rPr>
        <w:t xml:space="preserve">eb </w:t>
      </w:r>
      <w:r w:rsidR="00464FB8" w:rsidRPr="001D3E45">
        <w:rPr>
          <w:rFonts w:ascii="Century Gothic" w:hAnsi="Century Gothic" w:cs="Arial"/>
        </w:rPr>
        <w:t>“Inducción al MEP”</w:t>
      </w:r>
      <w:r w:rsidR="00684F1C">
        <w:rPr>
          <w:rFonts w:ascii="Century Gothic" w:hAnsi="Century Gothic" w:cs="Arial"/>
        </w:rPr>
        <w:t xml:space="preserve"> </w:t>
      </w:r>
      <w:hyperlink r:id="rId10" w:history="1">
        <w:r w:rsidR="00684F1C" w:rsidRPr="00E5557C">
          <w:rPr>
            <w:rStyle w:val="Hipervnculo"/>
            <w:rFonts w:ascii="Century Gothic" w:hAnsi="Century Gothic" w:cs="Arial"/>
          </w:rPr>
          <w:t>https://dgth.mep.go.cr/induccion/</w:t>
        </w:r>
      </w:hyperlink>
      <w:r w:rsidR="00684F1C">
        <w:rPr>
          <w:rFonts w:ascii="Century Gothic" w:hAnsi="Century Gothic" w:cs="Arial"/>
        </w:rPr>
        <w:t xml:space="preserve"> </w:t>
      </w:r>
      <w:r w:rsidRPr="001D3E45">
        <w:rPr>
          <w:rFonts w:ascii="Century Gothic" w:hAnsi="Century Gothic" w:cs="Arial"/>
        </w:rPr>
        <w:t>de la Dirección de Recursos Humanos</w:t>
      </w:r>
      <w:r w:rsidR="00D81D10" w:rsidRPr="001D3E45">
        <w:rPr>
          <w:rFonts w:ascii="Century Gothic" w:hAnsi="Century Gothic" w:cs="Arial"/>
        </w:rPr>
        <w:t xml:space="preserve"> puede aprovecharse para todas aquellas personas funcionarias con trayectoria en el MEP que no</w:t>
      </w:r>
      <w:r w:rsidR="009C0FBF" w:rsidRPr="001D3E45">
        <w:rPr>
          <w:rFonts w:ascii="Century Gothic" w:hAnsi="Century Gothic" w:cs="Arial"/>
        </w:rPr>
        <w:t xml:space="preserve"> han</w:t>
      </w:r>
      <w:r w:rsidR="00D81D10" w:rsidRPr="001D3E45">
        <w:rPr>
          <w:rFonts w:ascii="Century Gothic" w:hAnsi="Century Gothic" w:cs="Arial"/>
        </w:rPr>
        <w:t xml:space="preserve"> recibi</w:t>
      </w:r>
      <w:r w:rsidR="009C0FBF" w:rsidRPr="001D3E45">
        <w:rPr>
          <w:rFonts w:ascii="Century Gothic" w:hAnsi="Century Gothic" w:cs="Arial"/>
        </w:rPr>
        <w:t>do</w:t>
      </w:r>
      <w:r w:rsidR="00D81D10" w:rsidRPr="001D3E45">
        <w:rPr>
          <w:rFonts w:ascii="Century Gothic" w:hAnsi="Century Gothic" w:cs="Arial"/>
        </w:rPr>
        <w:t xml:space="preserve"> algún proceso de inducción</w:t>
      </w:r>
      <w:r w:rsidR="00E47548" w:rsidRPr="001D3E45">
        <w:rPr>
          <w:rFonts w:ascii="Century Gothic" w:hAnsi="Century Gothic" w:cs="Arial"/>
        </w:rPr>
        <w:t xml:space="preserve"> </w:t>
      </w:r>
      <w:r w:rsidR="009C0FBF" w:rsidRPr="001D3E45">
        <w:rPr>
          <w:rFonts w:ascii="Century Gothic" w:hAnsi="Century Gothic" w:cs="Arial"/>
        </w:rPr>
        <w:t>institucional</w:t>
      </w:r>
      <w:r w:rsidR="00CD6E25" w:rsidRPr="001D3E45">
        <w:rPr>
          <w:rFonts w:ascii="Century Gothic" w:hAnsi="Century Gothic" w:cs="Arial"/>
        </w:rPr>
        <w:t>,</w:t>
      </w:r>
      <w:r w:rsidR="00D81D10" w:rsidRPr="001D3E45">
        <w:rPr>
          <w:rFonts w:ascii="Century Gothic" w:hAnsi="Century Gothic" w:cs="Arial"/>
        </w:rPr>
        <w:t xml:space="preserve"> </w:t>
      </w:r>
      <w:r w:rsidR="00764DF5" w:rsidRPr="001D3E45">
        <w:rPr>
          <w:rFonts w:ascii="Century Gothic" w:hAnsi="Century Gothic" w:cs="Arial"/>
        </w:rPr>
        <w:t>o bien</w:t>
      </w:r>
      <w:r w:rsidR="00CD6E25" w:rsidRPr="001D3E45">
        <w:rPr>
          <w:rFonts w:ascii="Century Gothic" w:hAnsi="Century Gothic" w:cs="Arial"/>
        </w:rPr>
        <w:t>,</w:t>
      </w:r>
      <w:r w:rsidR="00764DF5" w:rsidRPr="001D3E45">
        <w:rPr>
          <w:rFonts w:ascii="Century Gothic" w:hAnsi="Century Gothic" w:cs="Arial"/>
        </w:rPr>
        <w:t xml:space="preserve"> que les interesaría fortalecer o aclarar dudas sobre las características del ministerio en el que trabajan.</w:t>
      </w:r>
    </w:p>
    <w:p w14:paraId="607DF90A" w14:textId="6305C1E6" w:rsidR="00B974D6" w:rsidRPr="001D3E45" w:rsidRDefault="00B974D6" w:rsidP="74FDB888">
      <w:pPr>
        <w:spacing w:line="240" w:lineRule="auto"/>
        <w:jc w:val="both"/>
        <w:rPr>
          <w:rFonts w:ascii="Century Gothic" w:hAnsi="Century Gothic" w:cs="Arial"/>
        </w:rPr>
      </w:pPr>
      <w:r w:rsidRPr="001D3E45">
        <w:rPr>
          <w:rFonts w:ascii="Century Gothic" w:hAnsi="Century Gothic" w:cs="Arial"/>
        </w:rPr>
        <w:t>Las actividades se deben realizar durante la jornada laboral, por lo que es necesario planificar los espacios para abarcar cada tema sin afectación a los servicios que son brindados y labores que se desempeñan.  Tomando en cuenta lo anterior, este proceso podría tardar entre dos y cuatro semanas.</w:t>
      </w:r>
    </w:p>
    <w:p w14:paraId="265C5379" w14:textId="670FC806" w:rsidR="4DDB9684" w:rsidRPr="001D3E45" w:rsidRDefault="4DDB9684" w:rsidP="74FDB888">
      <w:pPr>
        <w:spacing w:line="240" w:lineRule="auto"/>
        <w:jc w:val="both"/>
        <w:rPr>
          <w:rFonts w:ascii="Century Gothic" w:hAnsi="Century Gothic" w:cs="Arial"/>
        </w:rPr>
      </w:pPr>
      <w:r w:rsidRPr="001D3E45">
        <w:rPr>
          <w:rFonts w:ascii="Century Gothic" w:hAnsi="Century Gothic" w:cs="Arial"/>
        </w:rPr>
        <w:t>Es i</w:t>
      </w:r>
      <w:r w:rsidR="1E2ED8DA" w:rsidRPr="001D3E45">
        <w:rPr>
          <w:rFonts w:ascii="Century Gothic" w:hAnsi="Century Gothic" w:cs="Arial"/>
        </w:rPr>
        <w:t>ndispensable</w:t>
      </w:r>
      <w:r w:rsidRPr="001D3E45">
        <w:rPr>
          <w:rFonts w:ascii="Century Gothic" w:hAnsi="Century Gothic" w:cs="Arial"/>
        </w:rPr>
        <w:t xml:space="preserve"> que las jefaturas provean del tiempo </w:t>
      </w:r>
      <w:r w:rsidR="24113D1C" w:rsidRPr="001D3E45">
        <w:rPr>
          <w:rFonts w:ascii="Century Gothic" w:hAnsi="Century Gothic" w:cs="Arial"/>
        </w:rPr>
        <w:t>requerid</w:t>
      </w:r>
      <w:r w:rsidRPr="001D3E45">
        <w:rPr>
          <w:rFonts w:ascii="Century Gothic" w:hAnsi="Century Gothic" w:cs="Arial"/>
        </w:rPr>
        <w:t>o para que las personas de nuevo ingreso puedan realizar las gestiones necesarias en las plataformas de ser</w:t>
      </w:r>
      <w:r w:rsidR="397703C3" w:rsidRPr="001D3E45">
        <w:rPr>
          <w:rFonts w:ascii="Century Gothic" w:hAnsi="Century Gothic" w:cs="Arial"/>
        </w:rPr>
        <w:t xml:space="preserve">vicio de las Direcciones Regionales </w:t>
      </w:r>
      <w:r w:rsidR="7C691F8F" w:rsidRPr="001D3E45">
        <w:rPr>
          <w:rFonts w:ascii="Century Gothic" w:hAnsi="Century Gothic" w:cs="Arial"/>
        </w:rPr>
        <w:t>de Educación,</w:t>
      </w:r>
      <w:r w:rsidR="397703C3" w:rsidRPr="001D3E45">
        <w:rPr>
          <w:rFonts w:ascii="Century Gothic" w:hAnsi="Century Gothic" w:cs="Arial"/>
        </w:rPr>
        <w:t xml:space="preserve"> Oficinas Centrales</w:t>
      </w:r>
      <w:r w:rsidR="4AC89318" w:rsidRPr="001D3E45">
        <w:rPr>
          <w:rFonts w:ascii="Century Gothic" w:hAnsi="Century Gothic" w:cs="Arial"/>
        </w:rPr>
        <w:t xml:space="preserve"> o alguna otra institución externa (JUPEMA, Caja de Ande, entre otras)</w:t>
      </w:r>
      <w:r w:rsidR="397703C3" w:rsidRPr="001D3E45">
        <w:rPr>
          <w:rFonts w:ascii="Century Gothic" w:hAnsi="Century Gothic" w:cs="Arial"/>
        </w:rPr>
        <w:t>,</w:t>
      </w:r>
      <w:r w:rsidR="0D77AC01" w:rsidRPr="001D3E45">
        <w:rPr>
          <w:rFonts w:ascii="Century Gothic" w:hAnsi="Century Gothic" w:cs="Arial"/>
        </w:rPr>
        <w:t xml:space="preserve"> cuando éstas requieran ser presenciales, </w:t>
      </w:r>
      <w:r w:rsidR="397703C3" w:rsidRPr="001D3E45">
        <w:rPr>
          <w:rFonts w:ascii="Century Gothic" w:hAnsi="Century Gothic" w:cs="Arial"/>
        </w:rPr>
        <w:t>todo siempre en coordinación para el menor impacto en los Centros Educativos o en la gestión administrativa.</w:t>
      </w:r>
    </w:p>
    <w:p w14:paraId="672A6659" w14:textId="237EECC5" w:rsidR="00CB3852" w:rsidRPr="001D3E45" w:rsidRDefault="582500AD" w:rsidP="29423E7F">
      <w:pPr>
        <w:spacing w:line="240" w:lineRule="auto"/>
        <w:jc w:val="both"/>
        <w:rPr>
          <w:rFonts w:ascii="Century Gothic" w:hAnsi="Century Gothic" w:cs="Arial"/>
        </w:rPr>
      </w:pPr>
      <w:r w:rsidRPr="001D3E45">
        <w:rPr>
          <w:rFonts w:ascii="Century Gothic" w:hAnsi="Century Gothic" w:cs="Arial"/>
        </w:rPr>
        <w:t>Las actividades de e</w:t>
      </w:r>
      <w:r w:rsidR="5D8332CD" w:rsidRPr="001D3E45">
        <w:rPr>
          <w:rFonts w:ascii="Century Gothic" w:hAnsi="Century Gothic" w:cs="Arial"/>
        </w:rPr>
        <w:t xml:space="preserve">ste listado </w:t>
      </w:r>
      <w:r w:rsidR="37777346" w:rsidRPr="001D3E45">
        <w:rPr>
          <w:rFonts w:ascii="Century Gothic" w:hAnsi="Century Gothic" w:cs="Arial"/>
        </w:rPr>
        <w:t>no</w:t>
      </w:r>
      <w:r w:rsidR="5D8332CD" w:rsidRPr="001D3E45">
        <w:rPr>
          <w:rFonts w:ascii="Century Gothic" w:hAnsi="Century Gothic" w:cs="Arial"/>
        </w:rPr>
        <w:t xml:space="preserve"> tiene</w:t>
      </w:r>
      <w:r w:rsidR="55E83AE7" w:rsidRPr="001D3E45">
        <w:rPr>
          <w:rFonts w:ascii="Century Gothic" w:hAnsi="Century Gothic" w:cs="Arial"/>
        </w:rPr>
        <w:t>n</w:t>
      </w:r>
      <w:r w:rsidR="5D8332CD" w:rsidRPr="001D3E45">
        <w:rPr>
          <w:rFonts w:ascii="Century Gothic" w:hAnsi="Century Gothic" w:cs="Arial"/>
        </w:rPr>
        <w:t xml:space="preserve"> un orden en particular, ni son necesariamente requisitos unas de otras, se pueden cumplir de manera paralela o en un orden diferente, siendo lo más importante el que cada una de ellas se ejecute según aplique</w:t>
      </w:r>
      <w:r w:rsidR="3A1F6FC9" w:rsidRPr="001D3E45">
        <w:rPr>
          <w:rFonts w:ascii="Century Gothic" w:hAnsi="Century Gothic" w:cs="Arial"/>
        </w:rPr>
        <w:t>,</w:t>
      </w:r>
      <w:r w:rsidR="5D8332CD" w:rsidRPr="001D3E45">
        <w:rPr>
          <w:rFonts w:ascii="Century Gothic" w:hAnsi="Century Gothic" w:cs="Arial"/>
        </w:rPr>
        <w:t xml:space="preserve"> </w:t>
      </w:r>
      <w:r w:rsidR="0A2B5738" w:rsidRPr="001D3E45">
        <w:rPr>
          <w:rFonts w:ascii="Century Gothic" w:hAnsi="Century Gothic" w:cs="Arial"/>
        </w:rPr>
        <w:t>en</w:t>
      </w:r>
      <w:r w:rsidR="78D28E14" w:rsidRPr="001D3E45">
        <w:rPr>
          <w:rFonts w:ascii="Century Gothic" w:hAnsi="Century Gothic" w:cs="Arial"/>
        </w:rPr>
        <w:t xml:space="preserve"> las primeras semanas de labores de la nueva persona nombrada.</w:t>
      </w:r>
    </w:p>
    <w:p w14:paraId="14544EB2" w14:textId="5D4B2A04" w:rsidR="29423E7F" w:rsidRPr="001D3E45" w:rsidRDefault="29423E7F" w:rsidP="29423E7F">
      <w:pPr>
        <w:spacing w:line="240" w:lineRule="auto"/>
        <w:jc w:val="both"/>
        <w:rPr>
          <w:rFonts w:ascii="Century Gothic" w:hAnsi="Century Gothic" w:cs="Arial"/>
        </w:rPr>
      </w:pPr>
    </w:p>
    <w:p w14:paraId="47BF569F" w14:textId="77777777" w:rsidR="00ED691E" w:rsidRPr="001D3E45" w:rsidRDefault="00CB1628" w:rsidP="00CB3852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1D3E45">
        <w:rPr>
          <w:rFonts w:ascii="Century Gothic" w:hAnsi="Century Gothic" w:cs="Arial"/>
          <w:b/>
        </w:rPr>
        <w:t xml:space="preserve">Datos de las personas </w:t>
      </w:r>
      <w:r w:rsidR="00CB3852" w:rsidRPr="001D3E45">
        <w:rPr>
          <w:rFonts w:ascii="Century Gothic" w:hAnsi="Century Gothic" w:cs="Arial"/>
          <w:b/>
        </w:rPr>
        <w:t>participantes</w:t>
      </w:r>
    </w:p>
    <w:p w14:paraId="63C65106" w14:textId="77777777" w:rsidR="00C346A2" w:rsidRPr="001D3E45" w:rsidRDefault="00C346A2" w:rsidP="00CB3852">
      <w:pPr>
        <w:spacing w:after="0" w:line="240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90"/>
        <w:gridCol w:w="4284"/>
      </w:tblGrid>
      <w:tr w:rsidR="00B91696" w:rsidRPr="001D3E45" w14:paraId="7437D62E" w14:textId="77777777" w:rsidTr="1F2BEE1C">
        <w:tc>
          <w:tcPr>
            <w:tcW w:w="5098" w:type="dxa"/>
            <w:shd w:val="clear" w:color="auto" w:fill="BDD6EE" w:themeFill="accent1" w:themeFillTint="66"/>
          </w:tcPr>
          <w:p w14:paraId="3F863E91" w14:textId="3B465B44" w:rsidR="00B91696" w:rsidRPr="001D3E45" w:rsidRDefault="00B91696" w:rsidP="1F2BEE1C">
            <w:pPr>
              <w:spacing w:before="120" w:after="120"/>
              <w:jc w:val="both"/>
              <w:rPr>
                <w:rFonts w:ascii="Century Gothic" w:hAnsi="Century Gothic" w:cs="Arial"/>
                <w:u w:val="single"/>
              </w:rPr>
            </w:pPr>
            <w:r w:rsidRPr="001D3E45">
              <w:rPr>
                <w:rFonts w:ascii="Century Gothic" w:hAnsi="Century Gothic" w:cs="Arial"/>
              </w:rPr>
              <w:t>Nombre de la persona que recibe la inducción:</w:t>
            </w:r>
          </w:p>
        </w:tc>
        <w:tc>
          <w:tcPr>
            <w:tcW w:w="4296" w:type="dxa"/>
          </w:tcPr>
          <w:p w14:paraId="0A37501D" w14:textId="77777777" w:rsidR="00B91696" w:rsidRPr="001D3E45" w:rsidRDefault="00B91696" w:rsidP="00BA5ECB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B91696" w:rsidRPr="001D3E45" w14:paraId="47ABBF53" w14:textId="77777777" w:rsidTr="1F2BEE1C">
        <w:tc>
          <w:tcPr>
            <w:tcW w:w="5098" w:type="dxa"/>
            <w:tcBorders>
              <w:bottom w:val="double" w:sz="4" w:space="0" w:color="000000" w:themeColor="text1"/>
            </w:tcBorders>
            <w:shd w:val="clear" w:color="auto" w:fill="BDD6EE" w:themeFill="accent1" w:themeFillTint="66"/>
          </w:tcPr>
          <w:p w14:paraId="47FC11C5" w14:textId="77777777" w:rsidR="00B91696" w:rsidRPr="001D3E45" w:rsidRDefault="00ED691E" w:rsidP="00CB1628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1D3E45">
              <w:rPr>
                <w:rFonts w:ascii="Century Gothic" w:hAnsi="Century Gothic" w:cs="Arial"/>
              </w:rPr>
              <w:t>Institución/Instancia a la que pertenece:</w:t>
            </w:r>
          </w:p>
        </w:tc>
        <w:tc>
          <w:tcPr>
            <w:tcW w:w="4296" w:type="dxa"/>
            <w:tcBorders>
              <w:bottom w:val="double" w:sz="4" w:space="0" w:color="000000" w:themeColor="text1"/>
            </w:tcBorders>
          </w:tcPr>
          <w:p w14:paraId="5DAB6C7B" w14:textId="77777777" w:rsidR="00B91696" w:rsidRPr="001D3E45" w:rsidRDefault="00B91696" w:rsidP="00BA5ECB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B91696" w:rsidRPr="001D3E45" w14:paraId="6EA72ED1" w14:textId="77777777" w:rsidTr="1F2BEE1C">
        <w:tc>
          <w:tcPr>
            <w:tcW w:w="509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DD6EE" w:themeFill="accent1" w:themeFillTint="66"/>
          </w:tcPr>
          <w:p w14:paraId="6D937E5E" w14:textId="77777777" w:rsidR="00B91696" w:rsidRPr="001D3E45" w:rsidRDefault="00C15CBE" w:rsidP="00CB1628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1D3E45">
              <w:rPr>
                <w:rFonts w:ascii="Century Gothic" w:hAnsi="Century Gothic" w:cs="Arial"/>
              </w:rPr>
              <w:t>Nombre de la persona que brinda la inducción:</w:t>
            </w:r>
          </w:p>
        </w:tc>
        <w:tc>
          <w:tcPr>
            <w:tcW w:w="429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2EB378F" w14:textId="77777777" w:rsidR="00B91696" w:rsidRPr="001D3E45" w:rsidRDefault="00B91696" w:rsidP="00BA5ECB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5A39BBE3" w14:textId="0DB22B25" w:rsidR="00A27E44" w:rsidRPr="001D3E45" w:rsidRDefault="00A27E44">
      <w:pPr>
        <w:rPr>
          <w:rFonts w:ascii="Century Gothic" w:hAnsi="Century Gothic" w:cs="Arial"/>
          <w:b/>
        </w:rPr>
      </w:pPr>
      <w:r w:rsidRPr="001D3E45">
        <w:rPr>
          <w:rFonts w:ascii="Century Gothic" w:hAnsi="Century Gothic" w:cs="Arial"/>
          <w:b/>
        </w:rPr>
        <w:br w:type="page"/>
      </w:r>
    </w:p>
    <w:tbl>
      <w:tblPr>
        <w:tblStyle w:val="Tablaconcuadrcula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222"/>
        <w:gridCol w:w="1359"/>
        <w:gridCol w:w="2094"/>
      </w:tblGrid>
      <w:tr w:rsidR="00BA5ECB" w:rsidRPr="001D3E45" w14:paraId="605F6355" w14:textId="77777777" w:rsidTr="001C158A">
        <w:trPr>
          <w:cantSplit/>
          <w:tblHeader/>
          <w:jc w:val="center"/>
        </w:trPr>
        <w:tc>
          <w:tcPr>
            <w:tcW w:w="4395" w:type="dxa"/>
            <w:shd w:val="clear" w:color="auto" w:fill="BDD6EE" w:themeFill="accent1" w:themeFillTint="66"/>
          </w:tcPr>
          <w:p w14:paraId="46FC821F" w14:textId="77777777" w:rsidR="00BA5ECB" w:rsidRPr="001D3E45" w:rsidRDefault="00BA5ECB" w:rsidP="00B247EC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1D3E45">
              <w:rPr>
                <w:rFonts w:ascii="Century Gothic" w:hAnsi="Century Gothic" w:cs="Arial"/>
                <w:b/>
              </w:rPr>
              <w:lastRenderedPageBreak/>
              <w:t>Tarea</w:t>
            </w:r>
          </w:p>
        </w:tc>
        <w:tc>
          <w:tcPr>
            <w:tcW w:w="2222" w:type="dxa"/>
            <w:shd w:val="clear" w:color="auto" w:fill="BDD6EE" w:themeFill="accent1" w:themeFillTint="66"/>
          </w:tcPr>
          <w:p w14:paraId="20CABBD6" w14:textId="77777777" w:rsidR="00BA5ECB" w:rsidRPr="001D3E45" w:rsidRDefault="00BA5ECB" w:rsidP="00624C42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1D3E45">
              <w:rPr>
                <w:rFonts w:ascii="Century Gothic" w:hAnsi="Century Gothic" w:cs="Arial"/>
                <w:b/>
              </w:rPr>
              <w:t>Realizada</w:t>
            </w:r>
          </w:p>
        </w:tc>
        <w:tc>
          <w:tcPr>
            <w:tcW w:w="1359" w:type="dxa"/>
            <w:shd w:val="clear" w:color="auto" w:fill="BDD6EE" w:themeFill="accent1" w:themeFillTint="66"/>
          </w:tcPr>
          <w:p w14:paraId="48FF8E3E" w14:textId="77777777" w:rsidR="00BA5ECB" w:rsidRPr="001D3E45" w:rsidRDefault="00BA5ECB" w:rsidP="00624C42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1D3E45">
              <w:rPr>
                <w:rFonts w:ascii="Century Gothic" w:hAnsi="Century Gothic" w:cs="Arial"/>
                <w:b/>
              </w:rPr>
              <w:t>Fecha</w:t>
            </w:r>
          </w:p>
        </w:tc>
        <w:tc>
          <w:tcPr>
            <w:tcW w:w="2094" w:type="dxa"/>
            <w:shd w:val="clear" w:color="auto" w:fill="BDD6EE" w:themeFill="accent1" w:themeFillTint="66"/>
          </w:tcPr>
          <w:p w14:paraId="08C755C7" w14:textId="77777777" w:rsidR="00BA5ECB" w:rsidRPr="001D3E45" w:rsidRDefault="00BA5ECB" w:rsidP="00624C42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1D3E45">
              <w:rPr>
                <w:rFonts w:ascii="Century Gothic" w:hAnsi="Century Gothic" w:cs="Arial"/>
                <w:b/>
              </w:rPr>
              <w:t xml:space="preserve">Observaciones </w:t>
            </w:r>
          </w:p>
        </w:tc>
      </w:tr>
      <w:tr w:rsidR="00C92DAB" w:rsidRPr="001D3E45" w14:paraId="0EAA16A9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4CD533BD" w14:textId="382FE982" w:rsidR="00C92DAB" w:rsidRPr="001D3E45" w:rsidRDefault="05B2A23C" w:rsidP="00FC75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</w:rPr>
            </w:pPr>
            <w:r w:rsidRPr="001D3E45">
              <w:rPr>
                <w:rFonts w:ascii="Century Gothic" w:hAnsi="Century Gothic" w:cs="Arial"/>
              </w:rPr>
              <w:t>Solicita a la nueva p</w:t>
            </w:r>
            <w:r w:rsidR="705B14AE" w:rsidRPr="001D3E45">
              <w:rPr>
                <w:rFonts w:ascii="Century Gothic" w:hAnsi="Century Gothic" w:cs="Arial"/>
              </w:rPr>
              <w:t>ersona el documento de nombramiento</w:t>
            </w:r>
            <w:r w:rsidR="5A052B6B" w:rsidRPr="001D3E45">
              <w:rPr>
                <w:rFonts w:ascii="Century Gothic" w:hAnsi="Century Gothic" w:cs="Arial"/>
              </w:rPr>
              <w:t xml:space="preserve"> para que lo presente durante los primeros días</w:t>
            </w:r>
            <w:r w:rsidR="705B14AE" w:rsidRPr="001D3E45"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2222" w:type="dxa"/>
            <w:vAlign w:val="center"/>
          </w:tcPr>
          <w:p w14:paraId="493F2B9C" w14:textId="1CF49FF9" w:rsidR="00C92DAB" w:rsidRPr="001D3E45" w:rsidRDefault="00C92DAB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8070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FB8"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5102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453"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47453"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9580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453"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1C8F396" w14:textId="77777777" w:rsidR="00C92DAB" w:rsidRPr="001D3E45" w:rsidRDefault="00C92DAB" w:rsidP="00C92DA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72A3D3EC" w14:textId="77777777" w:rsidR="00C92DAB" w:rsidRPr="001D3E45" w:rsidRDefault="00C92DAB" w:rsidP="00C92DA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92DAB" w:rsidRPr="001D3E45" w14:paraId="1FAB6074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6013C75F" w14:textId="3D0288FA" w:rsidR="00C92DAB" w:rsidRPr="001D3E45" w:rsidRDefault="00EE3864" w:rsidP="00684F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Refiere a la nueva persona funcionaria al </w:t>
            </w:r>
            <w:r w:rsidR="341DFC42" w:rsidRPr="001D3E45">
              <w:rPr>
                <w:rFonts w:ascii="Century Gothic" w:hAnsi="Century Gothic" w:cs="Arial"/>
                <w:color w:val="000000" w:themeColor="text1"/>
              </w:rPr>
              <w:t>s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itio </w:t>
            </w:r>
            <w:r w:rsidR="71B09D87" w:rsidRPr="001D3E45">
              <w:rPr>
                <w:rFonts w:ascii="Century Gothic" w:hAnsi="Century Gothic" w:cs="Arial"/>
                <w:color w:val="000000" w:themeColor="text1"/>
              </w:rPr>
              <w:t>w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eb "Inducción al MEP"</w:t>
            </w:r>
            <w:r w:rsidR="6114844F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684F1C" w:rsidRPr="00684F1C">
              <w:rPr>
                <w:rStyle w:val="Hipervnculo"/>
                <w:rFonts w:ascii="Century Gothic" w:hAnsi="Century Gothic" w:cs="Arial"/>
              </w:rPr>
              <w:t>https://dgth.mep.go.cr/induccion/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, en donde se encuentra consolidada toda la</w:t>
            </w:r>
            <w:r w:rsidR="7D307916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información que le es útil</w:t>
            </w:r>
            <w:r w:rsidR="446F8D78" w:rsidRPr="001D3E45">
              <w:rPr>
                <w:rFonts w:ascii="Century Gothic" w:hAnsi="Century Gothic" w:cs="Arial"/>
                <w:color w:val="000000" w:themeColor="text1"/>
              </w:rPr>
              <w:t xml:space="preserve"> para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conocer </w:t>
            </w:r>
            <w:r w:rsidR="2456E9FC" w:rsidRPr="001D3E45">
              <w:rPr>
                <w:rFonts w:ascii="Century Gothic" w:hAnsi="Century Gothic" w:cs="Arial"/>
                <w:color w:val="000000" w:themeColor="text1"/>
              </w:rPr>
              <w:t xml:space="preserve">los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aspectos generales del MEP y sus procesos.</w:t>
            </w:r>
          </w:p>
        </w:tc>
        <w:tc>
          <w:tcPr>
            <w:tcW w:w="2222" w:type="dxa"/>
            <w:vAlign w:val="center"/>
          </w:tcPr>
          <w:p w14:paraId="4684EE4D" w14:textId="77E3E6A5" w:rsidR="00C92DAB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6377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57927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FB8"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7804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0D0B940D" w14:textId="77777777" w:rsidR="00C92DAB" w:rsidRPr="001D3E45" w:rsidRDefault="00C92DAB" w:rsidP="00C92DA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0E27B00A" w14:textId="77777777" w:rsidR="00C92DAB" w:rsidRPr="001D3E45" w:rsidRDefault="00C92DAB" w:rsidP="00C92DA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92116D" w:rsidRPr="001D3E45" w14:paraId="5B1F0ECC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634CA135" w14:textId="3A6CB2CA" w:rsidR="0092116D" w:rsidRPr="001D3E45" w:rsidRDefault="0092116D" w:rsidP="00DC24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Acompaña en el registro en el sitio </w:t>
            </w:r>
            <w:r w:rsidR="03EF0A81" w:rsidRPr="001D3E45">
              <w:rPr>
                <w:rFonts w:ascii="Century Gothic" w:hAnsi="Century Gothic" w:cs="Arial"/>
                <w:color w:val="000000" w:themeColor="text1"/>
              </w:rPr>
              <w:t>DRH en Línea (conocido como Servicios en Línea)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99746B" w:rsidRPr="0099746B">
              <w:rPr>
                <w:rStyle w:val="Hipervnculo"/>
                <w:rFonts w:ascii="Century Gothic" w:hAnsi="Century Gothic" w:cs="Arial"/>
              </w:rPr>
              <w:t>https://servicios.mep.go.cr/</w:t>
            </w:r>
            <w:r w:rsidR="5EA3F333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DC242A" w:rsidRPr="00DC242A">
              <w:rPr>
                <w:rFonts w:ascii="Century Gothic" w:hAnsi="Century Gothic" w:cs="Arial"/>
                <w:color w:val="000000" w:themeColor="text1"/>
              </w:rPr>
              <w:t>y acompaña en el aprendizaje de su uso</w:t>
            </w:r>
            <w:r w:rsidR="00DC242A">
              <w:rPr>
                <w:rFonts w:ascii="Century Gothic" w:hAnsi="Century Gothic" w:cs="Arial"/>
                <w:color w:val="000000" w:themeColor="text1"/>
              </w:rPr>
              <w:t>.</w:t>
            </w:r>
          </w:p>
        </w:tc>
        <w:tc>
          <w:tcPr>
            <w:tcW w:w="2222" w:type="dxa"/>
            <w:vAlign w:val="center"/>
          </w:tcPr>
          <w:p w14:paraId="738896EE" w14:textId="1C95B262" w:rsidR="0092116D" w:rsidRPr="001D3E45" w:rsidRDefault="00D30956" w:rsidP="00B52A05">
            <w:pPr>
              <w:jc w:val="center"/>
              <w:rPr>
                <w:rFonts w:ascii="Century Gothic" w:eastAsia="MS Gothic" w:hAnsi="Century Gothic" w:cs="Arial"/>
                <w:b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45983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2863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21046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0061E4C" w14:textId="77777777" w:rsidR="0092116D" w:rsidRPr="001D3E45" w:rsidRDefault="0092116D" w:rsidP="00C92DA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44EAFD9C" w14:textId="77777777" w:rsidR="0092116D" w:rsidRPr="001D3E45" w:rsidRDefault="0092116D" w:rsidP="00C92DA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0C887F77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49B70DCB" w14:textId="1C7F59B3" w:rsidR="00D30956" w:rsidRPr="001D3E45" w:rsidRDefault="00D30956" w:rsidP="00F816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Da seguimiento en </w:t>
            </w:r>
            <w:r w:rsidR="00EDB85E" w:rsidRPr="001D3E45">
              <w:rPr>
                <w:rFonts w:ascii="Century Gothic" w:hAnsi="Century Gothic" w:cs="Arial"/>
                <w:color w:val="000000" w:themeColor="text1"/>
              </w:rPr>
              <w:t>el sitio DRH en Línea (conocido como Servicios en Línea)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F81682" w:rsidRPr="00F81682">
              <w:rPr>
                <w:rStyle w:val="Hipervnculo"/>
                <w:rFonts w:ascii="Century Gothic" w:hAnsi="Century Gothic" w:cs="Arial"/>
              </w:rPr>
              <w:t>https://servicios.mep.go.cr/</w:t>
            </w:r>
            <w:r w:rsidR="4FE268C6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hasta la confección de la P21 (acción de personal).</w:t>
            </w:r>
          </w:p>
        </w:tc>
        <w:tc>
          <w:tcPr>
            <w:tcW w:w="2222" w:type="dxa"/>
            <w:vAlign w:val="center"/>
          </w:tcPr>
          <w:p w14:paraId="42DAC373" w14:textId="6139F5F9" w:rsidR="00D30956" w:rsidRPr="001D3E45" w:rsidRDefault="00F81682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4313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82119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54232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B94D5A5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3DEEC669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10644FBF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34AADEFF" w14:textId="45A49D2E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Instruye a la nueva persona funcionaria en los requisitos y procedimientos para el trámite de Dedicación Exclusiva</w:t>
            </w:r>
            <w:r w:rsidR="43C6DE21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/</w:t>
            </w:r>
            <w:r w:rsidR="3B880A3C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Prohibición (en los casos que corresponda).</w:t>
            </w:r>
          </w:p>
        </w:tc>
        <w:tc>
          <w:tcPr>
            <w:tcW w:w="2222" w:type="dxa"/>
            <w:vAlign w:val="center"/>
          </w:tcPr>
          <w:p w14:paraId="15C992AB" w14:textId="0F74DD95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56116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9252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20693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049F31CB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53128261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6AE937E7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3419EC40" w14:textId="2377EE73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Verifica la asignación de la Dedicación Exclusiva</w:t>
            </w:r>
            <w:r w:rsidR="33108D4D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/</w:t>
            </w:r>
            <w:r w:rsidR="3A074432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Prohibición (en los casos que corresponda).</w:t>
            </w:r>
          </w:p>
        </w:tc>
        <w:tc>
          <w:tcPr>
            <w:tcW w:w="2222" w:type="dxa"/>
            <w:vAlign w:val="center"/>
          </w:tcPr>
          <w:p w14:paraId="1247772A" w14:textId="127FC194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9577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1169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9130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2486C05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4101652C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7CD8E582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62776D06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Instruye a la nueva persona funcionaria en los requisitos y procedimientos para la apertura de expediente laboral.</w:t>
            </w:r>
          </w:p>
        </w:tc>
        <w:tc>
          <w:tcPr>
            <w:tcW w:w="2222" w:type="dxa"/>
            <w:vAlign w:val="center"/>
          </w:tcPr>
          <w:p w14:paraId="0758FDC2" w14:textId="7A12C33E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756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6766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82896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B99056E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1299C43A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64B74C3C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244FDAC9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Verifica la apertura de expediente laboral por parte de la nueva persona funcionaria.</w:t>
            </w:r>
          </w:p>
        </w:tc>
        <w:tc>
          <w:tcPr>
            <w:tcW w:w="2222" w:type="dxa"/>
            <w:vAlign w:val="center"/>
          </w:tcPr>
          <w:p w14:paraId="284B28D4" w14:textId="4E1FF0EE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4557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0354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7105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DDBEF00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3461D779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92DAB" w:rsidRPr="001D3E45" w14:paraId="4A37CBDD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421643FF" w14:textId="6DE6DDED" w:rsidR="00C92DAB" w:rsidRPr="001D3E45" w:rsidRDefault="00EE3864" w:rsidP="00FC754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lastRenderedPageBreak/>
              <w:t>Instruye a la nueva persona funcionaria en los requisitos y procedimientos para la gestión de reconocimiento de carrera profesional (en los casos que corresponda): apertura de</w:t>
            </w:r>
            <w:r w:rsidR="649616E2" w:rsidRPr="001D3E45">
              <w:rPr>
                <w:rFonts w:ascii="Century Gothic" w:hAnsi="Century Gothic" w:cs="Arial"/>
                <w:color w:val="000000" w:themeColor="text1"/>
              </w:rPr>
              <w:t xml:space="preserve"> carrera profesional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, actualización de experiencia, reconocimiento de tiempo laborado en otras instituciones, actualización de grupo profesional, inclusión de certificados.</w:t>
            </w:r>
          </w:p>
        </w:tc>
        <w:tc>
          <w:tcPr>
            <w:tcW w:w="2222" w:type="dxa"/>
            <w:vAlign w:val="center"/>
          </w:tcPr>
          <w:p w14:paraId="3A137BB4" w14:textId="58A46CBA" w:rsidR="00C92DAB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43229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70373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8688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3CF2D8B6" w14:textId="77777777" w:rsidR="00C92DAB" w:rsidRPr="001D3E45" w:rsidRDefault="00C92DAB" w:rsidP="00C92DA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0FB78278" w14:textId="77777777" w:rsidR="00C92DAB" w:rsidRPr="001D3E45" w:rsidRDefault="00C92DAB" w:rsidP="00C92DA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92DAB" w:rsidRPr="001D3E45" w14:paraId="4C0A41F8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21DD200F" w14:textId="5DBFB3A6" w:rsidR="00C92DAB" w:rsidRPr="001D3E45" w:rsidRDefault="001D2057" w:rsidP="009A5D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/>
              </w:rPr>
              <w:br w:type="page"/>
            </w:r>
            <w:r w:rsidR="008E7F7C" w:rsidRPr="001D3E45">
              <w:rPr>
                <w:rFonts w:ascii="Century Gothic" w:hAnsi="Century Gothic" w:cs="Arial"/>
                <w:color w:val="000000" w:themeColor="text1"/>
              </w:rPr>
              <w:t>Verifica la apertura</w:t>
            </w:r>
            <w:r w:rsidR="6504DF8C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8E7F7C" w:rsidRPr="001D3E45">
              <w:rPr>
                <w:rFonts w:ascii="Century Gothic" w:hAnsi="Century Gothic" w:cs="Arial"/>
                <w:color w:val="000000" w:themeColor="text1"/>
              </w:rPr>
              <w:t>de carrera profesional (en los casos que corresponda).</w:t>
            </w:r>
          </w:p>
        </w:tc>
        <w:tc>
          <w:tcPr>
            <w:tcW w:w="2222" w:type="dxa"/>
            <w:vAlign w:val="center"/>
          </w:tcPr>
          <w:p w14:paraId="52E9FE50" w14:textId="6B56AF3F" w:rsidR="00C92DAB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6859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72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6870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FC39945" w14:textId="77777777" w:rsidR="00C92DAB" w:rsidRPr="001D3E45" w:rsidRDefault="00C92DAB" w:rsidP="00C92DA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0562CB0E" w14:textId="77777777" w:rsidR="00C92DAB" w:rsidRPr="001D3E45" w:rsidRDefault="00C92DAB" w:rsidP="00C92DA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9A5DDB" w:rsidRPr="001D3E45" w14:paraId="584E86BF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69DA1DBD" w14:textId="77777777" w:rsidR="009A5DDB" w:rsidRPr="001D3E45" w:rsidRDefault="009A5DDB" w:rsidP="224252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Verifica la acción de personal de carrera profesional (en los casos que corresponda).</w:t>
            </w:r>
          </w:p>
        </w:tc>
        <w:tc>
          <w:tcPr>
            <w:tcW w:w="2222" w:type="dxa"/>
            <w:vAlign w:val="center"/>
          </w:tcPr>
          <w:p w14:paraId="76BEA314" w14:textId="66B80AA1" w:rsidR="009A5DDB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8488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817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34CE0A41" w14:textId="77777777" w:rsidR="009A5DDB" w:rsidRPr="001D3E45" w:rsidRDefault="009A5DDB" w:rsidP="009A5DD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62EBF3C5" w14:textId="77777777" w:rsidR="009A5DDB" w:rsidRPr="001D3E45" w:rsidRDefault="009A5DDB" w:rsidP="009A5DD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9A5DDB" w:rsidRPr="001D3E45" w14:paraId="49E19EB7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52ED0427" w14:textId="37AD3AAA" w:rsidR="009A5DDB" w:rsidRPr="001D3E45" w:rsidRDefault="009A5DDB" w:rsidP="009A5D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Registra los contactos y datos generales para la atención de emergencias personales o de salud</w:t>
            </w:r>
            <w:r w:rsidR="7C26D848" w:rsidRPr="001D3E45">
              <w:rPr>
                <w:rFonts w:ascii="Century Gothic" w:hAnsi="Century Gothic" w:cs="Arial"/>
                <w:color w:val="000000" w:themeColor="text1"/>
              </w:rPr>
              <w:t>,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 de manera que estén disponibles en caso de que sean necesarios. </w:t>
            </w:r>
          </w:p>
        </w:tc>
        <w:tc>
          <w:tcPr>
            <w:tcW w:w="2222" w:type="dxa"/>
            <w:vAlign w:val="center"/>
          </w:tcPr>
          <w:p w14:paraId="5F329459" w14:textId="14861587" w:rsidR="009A5DDB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3178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20225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91589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D98A12B" w14:textId="77777777" w:rsidR="009A5DDB" w:rsidRPr="001D3E45" w:rsidRDefault="009A5DDB" w:rsidP="009A5DD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2946DB82" w14:textId="77777777" w:rsidR="009A5DDB" w:rsidRPr="001D3E45" w:rsidRDefault="009A5DDB" w:rsidP="009A5DD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5C1945BA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56D5E28A" w14:textId="3776D8FD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Entrega el oficio de funciones </w:t>
            </w:r>
            <w:r w:rsidR="43C7BF19" w:rsidRPr="001D3E45">
              <w:rPr>
                <w:rFonts w:ascii="Century Gothic" w:hAnsi="Century Gothic" w:cs="Arial"/>
                <w:color w:val="000000" w:themeColor="text1"/>
              </w:rPr>
              <w:t xml:space="preserve">a la nueva persona funcionaria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en donde se especifiquen las responsabilidades que asume según su cargo y clase de puesto</w:t>
            </w:r>
            <w:r w:rsidR="539DDD32" w:rsidRPr="001D3E45">
              <w:rPr>
                <w:rFonts w:ascii="Century Gothic" w:hAnsi="Century Gothic" w:cs="Arial"/>
                <w:color w:val="000000" w:themeColor="text1"/>
              </w:rPr>
              <w:t>.</w:t>
            </w:r>
          </w:p>
        </w:tc>
        <w:tc>
          <w:tcPr>
            <w:tcW w:w="2222" w:type="dxa"/>
            <w:vAlign w:val="center"/>
          </w:tcPr>
          <w:p w14:paraId="4A86AAF0" w14:textId="535F175B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75635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94773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5645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5997CC1D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110FFD37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2F3E4947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4D3B309C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Explica la dinámica laboral de la instancia (horario de trabajo y descansos, las justificaciones de tardías, omisiones de marca y ausencias -Reglamento Autónomo del MEP-, código de vestimenta, organigrama interno, contactos importantes, normativa y políticas específicas, cultura organizacional, otra información relevante del día a día que la persona necesite conocer).</w:t>
            </w:r>
          </w:p>
        </w:tc>
        <w:tc>
          <w:tcPr>
            <w:tcW w:w="2222" w:type="dxa"/>
            <w:vAlign w:val="center"/>
          </w:tcPr>
          <w:p w14:paraId="4908730F" w14:textId="77777777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7704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028719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6E5B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2735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B699379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3FE9F23F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1C69" w:rsidRPr="001D3E45" w14:paraId="0FF2AC8D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0F1C52F4" w14:textId="3293C818" w:rsidR="00421C69" w:rsidRPr="001D3E45" w:rsidRDefault="00421C69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lastRenderedPageBreak/>
              <w:t>Verifica que la persona funcionaria esté asignada a la jefatura inmediata en el Sistema de Vacaciones/realiza la gestión de asignación (en los casos que corresponda)</w:t>
            </w:r>
          </w:p>
        </w:tc>
        <w:tc>
          <w:tcPr>
            <w:tcW w:w="2222" w:type="dxa"/>
            <w:vAlign w:val="center"/>
          </w:tcPr>
          <w:p w14:paraId="4CA717DB" w14:textId="2878FA7A" w:rsidR="00421C69" w:rsidRPr="001D3E45" w:rsidRDefault="00363320" w:rsidP="00B52A05">
            <w:pPr>
              <w:jc w:val="center"/>
              <w:rPr>
                <w:rFonts w:ascii="Century Gothic" w:eastAsia="MS Gothic" w:hAnsi="Century Gothic" w:cs="Arial"/>
                <w:b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7103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2958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08704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14B15C2" w14:textId="77777777" w:rsidR="00421C69" w:rsidRPr="001D3E45" w:rsidRDefault="00421C69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788E8E36" w14:textId="77777777" w:rsidR="00421C69" w:rsidRPr="001D3E45" w:rsidRDefault="00421C69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7CA16F17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1C1F0587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Explica vacaciones y su trámite.</w:t>
            </w:r>
          </w:p>
        </w:tc>
        <w:tc>
          <w:tcPr>
            <w:tcW w:w="2222" w:type="dxa"/>
            <w:vAlign w:val="center"/>
          </w:tcPr>
          <w:p w14:paraId="08E0019E" w14:textId="01AD359B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0284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393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0424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F72F646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08CE6F91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51916997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1C319112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Explica los componentes salariales y los rebajos de ley que observará en las coletillas de pago.</w:t>
            </w:r>
          </w:p>
        </w:tc>
        <w:tc>
          <w:tcPr>
            <w:tcW w:w="2222" w:type="dxa"/>
            <w:vAlign w:val="center"/>
          </w:tcPr>
          <w:p w14:paraId="12CA56D7" w14:textId="350EB3EB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789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0118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9465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1CDCEAD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6BB9E253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4783E538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040550D4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Coordina la gestión de carné institucional (en los casos que corresponda).</w:t>
            </w:r>
          </w:p>
        </w:tc>
        <w:tc>
          <w:tcPr>
            <w:tcW w:w="2222" w:type="dxa"/>
            <w:vAlign w:val="center"/>
          </w:tcPr>
          <w:p w14:paraId="1527BAB9" w14:textId="5FB62299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4631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9846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5495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23DE523C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52E56223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5F6D7BEF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7EA87A69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Coordina la gestión de registro de marca (en los casos que corresponda).</w:t>
            </w:r>
          </w:p>
        </w:tc>
        <w:tc>
          <w:tcPr>
            <w:tcW w:w="2222" w:type="dxa"/>
            <w:vAlign w:val="center"/>
          </w:tcPr>
          <w:p w14:paraId="30C99F7C" w14:textId="349833FE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7961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8955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0346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07547A01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5043CB0F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5B4EAA36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6F722A9B" w14:textId="0B49C4FA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Coordina la gestión del contrato de teletrabajo (en los casos que sea posible, en función de la normativa y decisión de la jefatura).</w:t>
            </w:r>
          </w:p>
        </w:tc>
        <w:tc>
          <w:tcPr>
            <w:tcW w:w="2222" w:type="dxa"/>
            <w:vAlign w:val="center"/>
          </w:tcPr>
          <w:p w14:paraId="645F276A" w14:textId="236CC9A0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20841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6177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9057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07459315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6537F28F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16880374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304CFD85" w14:textId="7CD3C715" w:rsidR="00D30956" w:rsidRPr="001D3E45" w:rsidRDefault="00D30956" w:rsidP="00FB5FE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Coordina la asignación de espacio físico y bienes institucionales (en los casos que corresponda), por ejemplo: aula, oficina, cubículo o </w:t>
            </w:r>
            <w:r w:rsidR="777952DA" w:rsidRPr="001D3E45">
              <w:rPr>
                <w:rFonts w:ascii="Century Gothic" w:hAnsi="Century Gothic" w:cs="Arial"/>
                <w:color w:val="000000" w:themeColor="text1"/>
              </w:rPr>
              <w:t>escritorio, suministros</w:t>
            </w:r>
            <w:r w:rsidR="2975385F" w:rsidRPr="001D3E45">
              <w:rPr>
                <w:rFonts w:ascii="Century Gothic" w:hAnsi="Century Gothic" w:cs="Arial"/>
                <w:color w:val="000000" w:themeColor="text1"/>
              </w:rPr>
              <w:t>,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 equipo de cómputo, silla ergonómica, aparato telefónico, línea telefónica, ventilador, casillero, entre otros</w:t>
            </w:r>
            <w:r w:rsidR="003F24C7" w:rsidRPr="001D3E45">
              <w:rPr>
                <w:rFonts w:ascii="Century Gothic" w:hAnsi="Century Gothic" w:cs="Arial"/>
                <w:color w:val="000000" w:themeColor="text1"/>
              </w:rPr>
              <w:t xml:space="preserve"> (hacer uso de SICAMEP en los casos que </w:t>
            </w:r>
            <w:r w:rsidR="00FB5FE3" w:rsidRPr="001D3E45">
              <w:rPr>
                <w:rFonts w:ascii="Century Gothic" w:hAnsi="Century Gothic" w:cs="Arial"/>
                <w:color w:val="000000" w:themeColor="text1"/>
              </w:rPr>
              <w:t>corresponda</w:t>
            </w:r>
            <w:r w:rsidR="003F24C7" w:rsidRPr="001D3E45">
              <w:rPr>
                <w:rFonts w:ascii="Century Gothic" w:hAnsi="Century Gothic" w:cs="Arial"/>
                <w:color w:val="000000" w:themeColor="text1"/>
              </w:rPr>
              <w:t>)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.</w:t>
            </w:r>
          </w:p>
        </w:tc>
        <w:tc>
          <w:tcPr>
            <w:tcW w:w="2222" w:type="dxa"/>
            <w:vAlign w:val="center"/>
          </w:tcPr>
          <w:p w14:paraId="4C0581F8" w14:textId="4C7AB03E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283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5219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7002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DFB9E20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70DF9E56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15BCBE81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26F8F3A7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Acompaña en la solicitud de correo electrónico institucional e instruye en las prácticas de uso.</w:t>
            </w:r>
          </w:p>
        </w:tc>
        <w:tc>
          <w:tcPr>
            <w:tcW w:w="2222" w:type="dxa"/>
            <w:vAlign w:val="center"/>
          </w:tcPr>
          <w:p w14:paraId="5E403E8A" w14:textId="7663D03F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5922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2999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89346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4E871BC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144A5D23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67DB8DBD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4EF68F88" w14:textId="2CCDF661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Orienta en realizar la solicitud de firma digital en Caja de Ande u otra entidad de preferencia e instruye en las prácticas de uso.</w:t>
            </w:r>
          </w:p>
        </w:tc>
        <w:tc>
          <w:tcPr>
            <w:tcW w:w="2222" w:type="dxa"/>
            <w:vAlign w:val="center"/>
          </w:tcPr>
          <w:p w14:paraId="18C10CA9" w14:textId="6D63747D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87357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9939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5721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738610EB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637805D2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30956" w:rsidRPr="001D3E45" w14:paraId="7A580473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7D9427F7" w14:textId="77777777" w:rsidR="00D30956" w:rsidRPr="001D3E45" w:rsidRDefault="00D30956" w:rsidP="00D309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Solicita a la Dirección de Informática de Gestión accesos requeridos para los diferentes sistemas, oficina virtual y carpetas compartidas, según funciones (en los casos que corresponda). </w:t>
            </w:r>
          </w:p>
        </w:tc>
        <w:tc>
          <w:tcPr>
            <w:tcW w:w="2222" w:type="dxa"/>
            <w:vAlign w:val="center"/>
          </w:tcPr>
          <w:p w14:paraId="1AD50237" w14:textId="21DB8EEB" w:rsidR="00D30956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1380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33463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4888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63F29E8" w14:textId="77777777" w:rsidR="00D30956" w:rsidRPr="001D3E45" w:rsidRDefault="00D30956" w:rsidP="00D3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3B7B4B86" w14:textId="77777777" w:rsidR="00D30956" w:rsidRPr="001D3E45" w:rsidRDefault="00D30956" w:rsidP="00D3095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9A5DDB" w:rsidRPr="001D3E45" w14:paraId="06ED2639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4F21666A" w14:textId="2C03FD41" w:rsidR="009A5DDB" w:rsidRPr="001D3E45" w:rsidRDefault="009A5DDB" w:rsidP="009A5DD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lastRenderedPageBreak/>
              <w:t xml:space="preserve">Coordina la configuración del equipo de cómputo en los casos que corresponda (configuración del correo electrónico, </w:t>
            </w:r>
            <w:r w:rsidR="6B3FC18A" w:rsidRPr="001D3E45">
              <w:rPr>
                <w:rFonts w:ascii="Century Gothic" w:hAnsi="Century Gothic" w:cs="Arial"/>
                <w:color w:val="000000" w:themeColor="text1"/>
              </w:rPr>
              <w:t xml:space="preserve">configuración de la firma laboral en el correo electrónico,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Menú MEP, instalación de aplicaciones</w:t>
            </w:r>
            <w:r w:rsidR="1933BD2C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y configuración de firma digital según funciones</w:t>
            </w:r>
            <w:r w:rsidR="363A188C" w:rsidRPr="001D3E45">
              <w:rPr>
                <w:rFonts w:ascii="Century Gothic" w:hAnsi="Century Gothic" w:cs="Arial"/>
                <w:color w:val="000000" w:themeColor="text1"/>
              </w:rPr>
              <w:t>, entre otros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).</w:t>
            </w:r>
          </w:p>
        </w:tc>
        <w:tc>
          <w:tcPr>
            <w:tcW w:w="2222" w:type="dxa"/>
            <w:vAlign w:val="center"/>
          </w:tcPr>
          <w:p w14:paraId="072C6401" w14:textId="6EF68534" w:rsidR="009A5DDB" w:rsidRPr="001D3E45" w:rsidRDefault="00D30956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3642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7845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228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3A0FF5F2" w14:textId="77777777" w:rsidR="009A5DDB" w:rsidRPr="001D3E45" w:rsidRDefault="009A5DDB" w:rsidP="009A5DD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5630AD66" w14:textId="77777777" w:rsidR="009A5DDB" w:rsidRPr="001D3E45" w:rsidRDefault="009A5DDB" w:rsidP="009A5DD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5FA7C3CF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0E67E6CA" w14:textId="77777777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Brinda inducción en el adecuado uso de cada uno de los sistemas, aplicaciones, oficina virtual y carpetas compartidas, según funciones. </w:t>
            </w:r>
          </w:p>
        </w:tc>
        <w:tc>
          <w:tcPr>
            <w:tcW w:w="2222" w:type="dxa"/>
            <w:vAlign w:val="center"/>
          </w:tcPr>
          <w:p w14:paraId="56F40684" w14:textId="590DFB08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37966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6A2"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2411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08688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1829076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2BA226A1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29423E7F" w:rsidRPr="001D3E45" w14:paraId="09A0AB3E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103632C0" w14:textId="5DA561DE" w:rsidR="37FF3CEF" w:rsidRPr="001D3E45" w:rsidRDefault="37FF3CEF" w:rsidP="00C346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Brinda inducción en el uso de</w:t>
            </w:r>
            <w:r w:rsidR="00C346A2" w:rsidRPr="001D3E45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B52A05" w:rsidRPr="001D3E45">
              <w:rPr>
                <w:rFonts w:ascii="Century Gothic" w:hAnsi="Century Gothic" w:cs="Arial"/>
                <w:color w:val="000000" w:themeColor="text1"/>
              </w:rPr>
              <w:t xml:space="preserve">MS </w:t>
            </w:r>
            <w:r w:rsidR="00C346A2" w:rsidRPr="001D3E45">
              <w:rPr>
                <w:rFonts w:ascii="Century Gothic" w:hAnsi="Century Gothic" w:cs="Arial"/>
                <w:color w:val="000000" w:themeColor="text1"/>
              </w:rPr>
              <w:t>Teams, configuración de fotografía de perfil y demás funcionalidades según lo expuesto en los webinarios del sitio web “Inducción al MEP” indicado en el punto 2 de la presente lista.</w:t>
            </w:r>
          </w:p>
        </w:tc>
        <w:tc>
          <w:tcPr>
            <w:tcW w:w="2222" w:type="dxa"/>
            <w:vAlign w:val="center"/>
          </w:tcPr>
          <w:p w14:paraId="1AE2B141" w14:textId="51C05ACC" w:rsidR="29423E7F" w:rsidRPr="001D3E45" w:rsidRDefault="00C346A2" w:rsidP="00B52A05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200269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7085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7896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7C03A7C3" w14:textId="26517378" w:rsidR="29423E7F" w:rsidRPr="001D3E45" w:rsidRDefault="29423E7F" w:rsidP="29423E7F">
            <w:pPr>
              <w:spacing w:line="259" w:lineRule="auto"/>
              <w:ind w:left="720"/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094" w:type="dxa"/>
          </w:tcPr>
          <w:p w14:paraId="5ADF3CB7" w14:textId="68ADB22B" w:rsidR="29423E7F" w:rsidRPr="001D3E45" w:rsidRDefault="29423E7F" w:rsidP="29423E7F">
            <w:pPr>
              <w:spacing w:line="259" w:lineRule="auto"/>
              <w:ind w:left="720"/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E62024" w:rsidRPr="001D3E45" w14:paraId="7A8C9DE0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0FBE5B95" w14:textId="77777777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Acompaña en el recorrido por las instalaciones del lugar de trabajo (incluye ruta de evacuación). </w:t>
            </w:r>
          </w:p>
        </w:tc>
        <w:tc>
          <w:tcPr>
            <w:tcW w:w="2222" w:type="dxa"/>
            <w:vAlign w:val="center"/>
          </w:tcPr>
          <w:p w14:paraId="52D698CE" w14:textId="6784461D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8702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0985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2428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7AD93B2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0DE4B5B7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1846AE5A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40714F6E" w14:textId="77777777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Presenta a las personas compañeras de trabajo (puede ser mediante reunión virtual según las condiciones de trabajo).</w:t>
            </w:r>
          </w:p>
        </w:tc>
        <w:tc>
          <w:tcPr>
            <w:tcW w:w="2222" w:type="dxa"/>
            <w:vAlign w:val="center"/>
          </w:tcPr>
          <w:p w14:paraId="5C25B73C" w14:textId="28BD8F7E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68204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4567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7320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6204FF1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2DBF0D7D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6D20D091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60C6ED43" w14:textId="77777777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Explica el régimen de pensión, póliza de vida, trámite de nombramiento de legatarios y actualización de información de JUPEMA, Caja de ANDE, Sociedad de Seguros de Vida del Magisterio Nacional y orienta para que coordine lo respectivo con cada institución (revisar Sitio Web de cada entidad).</w:t>
            </w:r>
          </w:p>
        </w:tc>
        <w:tc>
          <w:tcPr>
            <w:tcW w:w="2222" w:type="dxa"/>
            <w:vAlign w:val="center"/>
          </w:tcPr>
          <w:p w14:paraId="5B327096" w14:textId="0D02F8D3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79227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0728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4893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B62F1B3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02F2C34E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097EC003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3E7ED2BA" w14:textId="0DE05A3F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Vela por la lectura del material referente a Sistema de Control Interno disponible en el sitio </w:t>
            </w:r>
            <w:r w:rsidR="09DDA9D2" w:rsidRPr="001D3E45">
              <w:rPr>
                <w:rFonts w:ascii="Century Gothic" w:hAnsi="Century Gothic" w:cs="Arial"/>
                <w:color w:val="000000" w:themeColor="text1"/>
              </w:rPr>
              <w:t xml:space="preserve">web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"Inducción al MEP</w:t>
            </w:r>
            <w:r w:rsidR="7E95E311" w:rsidRPr="001D3E45">
              <w:rPr>
                <w:rFonts w:ascii="Century Gothic" w:hAnsi="Century Gothic" w:cs="Arial"/>
                <w:color w:val="000000" w:themeColor="text1"/>
              </w:rPr>
              <w:t xml:space="preserve">”,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indicado en el punto 2 de la presente lista</w:t>
            </w:r>
            <w:r w:rsidR="07277435" w:rsidRPr="001D3E45">
              <w:rPr>
                <w:rFonts w:ascii="Century Gothic" w:hAnsi="Century Gothic" w:cs="Arial"/>
                <w:color w:val="000000" w:themeColor="text1"/>
              </w:rPr>
              <w:t>, sección “Generalidades del MEP"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.</w:t>
            </w:r>
          </w:p>
        </w:tc>
        <w:tc>
          <w:tcPr>
            <w:tcW w:w="2222" w:type="dxa"/>
            <w:vAlign w:val="center"/>
          </w:tcPr>
          <w:p w14:paraId="493BD8DC" w14:textId="36074F1D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656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9561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9536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80A4E5D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19219836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01383AE5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52093BF3" w14:textId="754FC563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lastRenderedPageBreak/>
              <w:t xml:space="preserve">Vela por la lectura del material referente a Ética y Valores del MEP disponible en el </w:t>
            </w:r>
            <w:r w:rsidR="72C2E173" w:rsidRPr="001D3E45">
              <w:rPr>
                <w:rFonts w:ascii="Century Gothic" w:hAnsi="Century Gothic" w:cs="Arial"/>
                <w:color w:val="000000" w:themeColor="text1"/>
              </w:rPr>
              <w:t>sitio web "Inducción al MEP”, indicado en el punto 2 de la presente lista, sección “Generalidades del MEP".</w:t>
            </w:r>
          </w:p>
        </w:tc>
        <w:tc>
          <w:tcPr>
            <w:tcW w:w="2222" w:type="dxa"/>
            <w:vAlign w:val="center"/>
          </w:tcPr>
          <w:p w14:paraId="4B799496" w14:textId="3AF17F97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212961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3767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3626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296FEF7D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7194DBDC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4F0128FA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1916FD26" w14:textId="39E4A465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Vela por la lectura del material referente a "Ley general de administración pública" disponible en el </w:t>
            </w:r>
            <w:r w:rsidR="4393258D" w:rsidRPr="001D3E45">
              <w:rPr>
                <w:rFonts w:ascii="Century Gothic" w:hAnsi="Century Gothic" w:cs="Arial"/>
                <w:color w:val="000000" w:themeColor="text1"/>
              </w:rPr>
              <w:t>sitio web "Inducción al MEP”, indicado en el punto 2 de la presente lista, sección “Generalidades del MEP", subsección “Normativa”.</w:t>
            </w:r>
          </w:p>
        </w:tc>
        <w:tc>
          <w:tcPr>
            <w:tcW w:w="2222" w:type="dxa"/>
            <w:vAlign w:val="center"/>
          </w:tcPr>
          <w:p w14:paraId="4C70102E" w14:textId="5C4C2FAA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4044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00290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1347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769D0D3C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54CD245A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308F5B56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526C87B6" w14:textId="3D2CDFB1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>Vela por la visualización del material referente a "</w:t>
            </w:r>
            <w:r w:rsidR="69B96010" w:rsidRPr="001D3E45">
              <w:rPr>
                <w:rFonts w:ascii="Century Gothic" w:hAnsi="Century Gothic" w:cs="Arial"/>
                <w:color w:val="000000" w:themeColor="text1"/>
              </w:rPr>
              <w:t>Webinarios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" disponible en el sitio</w:t>
            </w:r>
            <w:r w:rsidR="3AFCA192" w:rsidRPr="001D3E45">
              <w:rPr>
                <w:rFonts w:ascii="Century Gothic" w:hAnsi="Century Gothic" w:cs="Arial"/>
                <w:color w:val="000000" w:themeColor="text1"/>
              </w:rPr>
              <w:t xml:space="preserve"> web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 "Inducción al MEP" indicado en el punto 2 de la presente lista.</w:t>
            </w:r>
          </w:p>
        </w:tc>
        <w:tc>
          <w:tcPr>
            <w:tcW w:w="2222" w:type="dxa"/>
            <w:vAlign w:val="center"/>
          </w:tcPr>
          <w:p w14:paraId="439DE8F3" w14:textId="7D0078C6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1307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9065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8266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1231BE67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36FEB5B0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18C6B529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2F933E26" w14:textId="76C5339D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Vela por la lectura del material referente a "Servicios de Interés" disponible en el sitio </w:t>
            </w:r>
            <w:r w:rsidR="118DCFA2" w:rsidRPr="001D3E45">
              <w:rPr>
                <w:rFonts w:ascii="Century Gothic" w:hAnsi="Century Gothic" w:cs="Arial"/>
                <w:color w:val="000000" w:themeColor="text1"/>
              </w:rPr>
              <w:t xml:space="preserve">web </w:t>
            </w:r>
            <w:r w:rsidRPr="001D3E45">
              <w:rPr>
                <w:rFonts w:ascii="Century Gothic" w:hAnsi="Century Gothic" w:cs="Arial"/>
                <w:color w:val="000000" w:themeColor="text1"/>
              </w:rPr>
              <w:t>"Inducción al MEP" indicado en el punto 2 de la presente lista.</w:t>
            </w:r>
          </w:p>
        </w:tc>
        <w:tc>
          <w:tcPr>
            <w:tcW w:w="2222" w:type="dxa"/>
            <w:vAlign w:val="center"/>
          </w:tcPr>
          <w:p w14:paraId="5B443F49" w14:textId="0992411F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-14444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18612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9584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30D7AA69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7196D064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62024" w:rsidRPr="001D3E45" w14:paraId="307C7C8B" w14:textId="77777777" w:rsidTr="001C158A">
        <w:trPr>
          <w:cantSplit/>
          <w:jc w:val="center"/>
        </w:trPr>
        <w:tc>
          <w:tcPr>
            <w:tcW w:w="4395" w:type="dxa"/>
            <w:vAlign w:val="center"/>
          </w:tcPr>
          <w:p w14:paraId="2A655DF2" w14:textId="77777777" w:rsidR="00E62024" w:rsidRPr="001D3E45" w:rsidRDefault="00E62024" w:rsidP="00E620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color w:val="000000"/>
              </w:rPr>
            </w:pPr>
            <w:r w:rsidRPr="001D3E45">
              <w:rPr>
                <w:rFonts w:ascii="Century Gothic" w:hAnsi="Century Gothic" w:cs="Arial"/>
                <w:color w:val="000000" w:themeColor="text1"/>
              </w:rPr>
              <w:t xml:space="preserve">Define las personas colaboradoras y el cronograma de actividades para la inducción paulatina al puesto, funciones y tareas específicas que le corresponderá ejecutar. </w:t>
            </w:r>
          </w:p>
        </w:tc>
        <w:tc>
          <w:tcPr>
            <w:tcW w:w="2222" w:type="dxa"/>
            <w:vAlign w:val="center"/>
          </w:tcPr>
          <w:p w14:paraId="33E9ED35" w14:textId="239622DB" w:rsidR="00E62024" w:rsidRPr="001D3E45" w:rsidRDefault="00E62024" w:rsidP="00B52A05">
            <w:pPr>
              <w:jc w:val="center"/>
              <w:rPr>
                <w:rFonts w:ascii="Century Gothic" w:hAnsi="Century Gothic"/>
              </w:rPr>
            </w:pPr>
            <w:r w:rsidRPr="001D3E45">
              <w:rPr>
                <w:rFonts w:ascii="Century Gothic" w:eastAsia="MS Gothic" w:hAnsi="Century Gothic" w:cs="Arial"/>
                <w:b/>
              </w:rPr>
              <w:t xml:space="preserve">SI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669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NO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8051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D3E45">
              <w:rPr>
                <w:rFonts w:ascii="Century Gothic" w:eastAsia="MS Gothic" w:hAnsi="Century Gothic" w:cs="Arial"/>
                <w:b/>
              </w:rPr>
              <w:t xml:space="preserve">  N/A </w:t>
            </w:r>
            <w:sdt>
              <w:sdtPr>
                <w:rPr>
                  <w:rFonts w:ascii="Century Gothic" w:eastAsia="MS Gothic" w:hAnsi="Century Gothic" w:cs="Arial"/>
                  <w:b/>
                </w:rPr>
                <w:id w:val="74861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E4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34FF1C98" w14:textId="77777777" w:rsidR="00E62024" w:rsidRPr="001D3E45" w:rsidRDefault="00E62024" w:rsidP="00E6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14:paraId="6D072C0D" w14:textId="77777777" w:rsidR="00E62024" w:rsidRPr="001D3E45" w:rsidRDefault="00E62024" w:rsidP="00E62024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14:paraId="48A21919" w14:textId="77777777" w:rsidR="00BA5ECB" w:rsidRPr="001D3E45" w:rsidRDefault="00BA5ECB" w:rsidP="00BA5ECB">
      <w:pPr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BA5ECB" w:rsidRPr="001D3E45" w14:paraId="6BD18F9B" w14:textId="77777777" w:rsidTr="00624C42">
        <w:trPr>
          <w:trHeight w:val="1697"/>
        </w:trPr>
        <w:tc>
          <w:tcPr>
            <w:tcW w:w="4697" w:type="dxa"/>
          </w:tcPr>
          <w:p w14:paraId="238601FE" w14:textId="77777777" w:rsidR="00BA5ECB" w:rsidRPr="001D3E45" w:rsidRDefault="00BA5ECB" w:rsidP="00624C4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697" w:type="dxa"/>
          </w:tcPr>
          <w:p w14:paraId="0F3CABC7" w14:textId="77777777" w:rsidR="00BA5ECB" w:rsidRPr="001D3E45" w:rsidRDefault="00BA5ECB" w:rsidP="00624C42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BA5ECB" w:rsidRPr="001D3E45" w14:paraId="6AF66E5D" w14:textId="77777777" w:rsidTr="00624C42">
        <w:tc>
          <w:tcPr>
            <w:tcW w:w="4697" w:type="dxa"/>
          </w:tcPr>
          <w:p w14:paraId="5ED60A7D" w14:textId="77777777" w:rsidR="00BA5ECB" w:rsidRPr="001D3E45" w:rsidRDefault="00797601" w:rsidP="00624C42">
            <w:pPr>
              <w:jc w:val="center"/>
              <w:rPr>
                <w:rFonts w:ascii="Century Gothic" w:hAnsi="Century Gothic" w:cs="Arial"/>
                <w:b/>
              </w:rPr>
            </w:pPr>
            <w:r w:rsidRPr="001D3E45">
              <w:rPr>
                <w:rFonts w:ascii="Century Gothic" w:hAnsi="Century Gothic" w:cs="Arial"/>
                <w:b/>
              </w:rPr>
              <w:t xml:space="preserve">Fecha y </w:t>
            </w:r>
            <w:r w:rsidR="00BA5ECB" w:rsidRPr="001D3E45">
              <w:rPr>
                <w:rFonts w:ascii="Century Gothic" w:hAnsi="Century Gothic" w:cs="Arial"/>
                <w:b/>
              </w:rPr>
              <w:t>Firma de la persona que recibió la inducción</w:t>
            </w:r>
          </w:p>
        </w:tc>
        <w:tc>
          <w:tcPr>
            <w:tcW w:w="4697" w:type="dxa"/>
          </w:tcPr>
          <w:p w14:paraId="16255F78" w14:textId="77777777" w:rsidR="00BA5ECB" w:rsidRPr="001D3E45" w:rsidRDefault="00797601" w:rsidP="00797601">
            <w:pPr>
              <w:jc w:val="center"/>
              <w:rPr>
                <w:rFonts w:ascii="Century Gothic" w:hAnsi="Century Gothic" w:cs="Arial"/>
                <w:b/>
              </w:rPr>
            </w:pPr>
            <w:r w:rsidRPr="001D3E45">
              <w:rPr>
                <w:rFonts w:ascii="Century Gothic" w:hAnsi="Century Gothic" w:cs="Arial"/>
                <w:b/>
              </w:rPr>
              <w:t>Fecha y</w:t>
            </w:r>
            <w:r w:rsidR="00BA5ECB" w:rsidRPr="001D3E45">
              <w:rPr>
                <w:rFonts w:ascii="Century Gothic" w:hAnsi="Century Gothic" w:cs="Arial"/>
                <w:b/>
              </w:rPr>
              <w:t xml:space="preserve"> Firma de la persona que brindó la inducción</w:t>
            </w:r>
          </w:p>
        </w:tc>
      </w:tr>
    </w:tbl>
    <w:p w14:paraId="5B08B5D1" w14:textId="77777777" w:rsidR="00BA5ECB" w:rsidRPr="001D3E45" w:rsidRDefault="00BA5ECB" w:rsidP="00BA5ECB">
      <w:pPr>
        <w:jc w:val="both"/>
        <w:rPr>
          <w:rFonts w:ascii="Century Gothic" w:hAnsi="Century Gothic" w:cs="Arial"/>
          <w:b/>
        </w:rPr>
      </w:pPr>
    </w:p>
    <w:p w14:paraId="16DEB4AB" w14:textId="30C94723" w:rsidR="00000000" w:rsidRPr="001D3E45" w:rsidRDefault="4B2A9BEA" w:rsidP="2E472FEF">
      <w:pPr>
        <w:rPr>
          <w:rFonts w:ascii="Century Gothic" w:eastAsia="Arial" w:hAnsi="Century Gothic" w:cs="Arial"/>
          <w:i/>
          <w:iCs/>
        </w:rPr>
      </w:pPr>
      <w:r w:rsidRPr="001D3E45">
        <w:rPr>
          <w:rFonts w:ascii="Century Gothic" w:eastAsia="Arial" w:hAnsi="Century Gothic" w:cs="Arial"/>
          <w:b/>
          <w:bCs/>
          <w:i/>
          <w:iCs/>
        </w:rPr>
        <w:t>Nota:</w:t>
      </w:r>
      <w:r w:rsidRPr="001D3E45">
        <w:rPr>
          <w:rFonts w:ascii="Century Gothic" w:eastAsia="Arial" w:hAnsi="Century Gothic" w:cs="Arial"/>
          <w:i/>
          <w:iCs/>
        </w:rPr>
        <w:t xml:space="preserve"> Ambas partes firmantes deben conservar una copia de este documento como evidencia de su cumplimiento.</w:t>
      </w:r>
    </w:p>
    <w:sectPr w:rsidR="009623BC" w:rsidRPr="001D3E45" w:rsidSect="00787131">
      <w:headerReference w:type="default" r:id="rId11"/>
      <w:footerReference w:type="default" r:id="rId12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3B59" w14:textId="77777777" w:rsidR="00787131" w:rsidRDefault="00787131">
      <w:pPr>
        <w:spacing w:after="0" w:line="240" w:lineRule="auto"/>
      </w:pPr>
      <w:r>
        <w:separator/>
      </w:r>
    </w:p>
  </w:endnote>
  <w:endnote w:type="continuationSeparator" w:id="0">
    <w:p w14:paraId="6E87A4E5" w14:textId="77777777" w:rsidR="00787131" w:rsidRDefault="0078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178441657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D3A01EE" w14:textId="219069F5" w:rsidR="003C7926" w:rsidRDefault="00000000" w:rsidP="004D3CCE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pict w14:anchorId="6D8BA6F1">
                <v:rect id="_x0000_i1027" style="width:0;height:1.5pt" o:hralign="center" o:hrstd="t" o:hr="t" fillcolor="#a0a0a0" stroked="f"/>
              </w:pict>
            </w:r>
          </w:p>
          <w:p w14:paraId="0E2ACD85" w14:textId="3F82EFE5" w:rsidR="003C7926" w:rsidRPr="00756E5B" w:rsidRDefault="003C7926" w:rsidP="004D3CCE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756E5B">
              <w:rPr>
                <w:rFonts w:ascii="Arial" w:hAnsi="Arial" w:cs="Arial"/>
                <w:sz w:val="14"/>
                <w:szCs w:val="14"/>
                <w:lang w:val="pt-BR"/>
              </w:rPr>
              <w:t xml:space="preserve">Página </w:t>
            </w:r>
            <w:r w:rsidRPr="003C7926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756E5B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>PAGE</w:instrText>
            </w:r>
            <w:r w:rsidRPr="003C7926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1C158A" w:rsidRPr="00756E5B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2</w:t>
            </w:r>
            <w:r w:rsidRPr="003C7926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56E5B">
              <w:rPr>
                <w:rFonts w:ascii="Arial" w:hAnsi="Arial" w:cs="Arial"/>
                <w:sz w:val="14"/>
                <w:szCs w:val="14"/>
                <w:lang w:val="pt-BR"/>
              </w:rPr>
              <w:t xml:space="preserve"> de </w:t>
            </w:r>
            <w:r w:rsidRPr="003C7926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756E5B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>NUMPAGES</w:instrText>
            </w:r>
            <w:r w:rsidRPr="003C7926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1C158A" w:rsidRPr="00756E5B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7</w:t>
            </w:r>
            <w:r w:rsidRPr="003C7926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8CE5F84" w14:textId="77777777" w:rsidR="003C7926" w:rsidRPr="00756E5B" w:rsidRDefault="003C7926" w:rsidP="004D3CCE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14:paraId="7CDC5A38" w14:textId="77777777" w:rsidR="005A4AD2" w:rsidRPr="00756E5B" w:rsidRDefault="005A4AD2" w:rsidP="004D3CCE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14:paraId="578EF1F7" w14:textId="34026B4A" w:rsidR="00000000" w:rsidRPr="00756E5B" w:rsidRDefault="001D3E45" w:rsidP="004D3CCE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756E5B">
              <w:rPr>
                <w:rFonts w:ascii="Arial" w:hAnsi="Arial" w:cs="Arial"/>
                <w:sz w:val="14"/>
                <w:szCs w:val="14"/>
                <w:lang w:val="pt-BR"/>
              </w:rPr>
              <w:t xml:space="preserve">DGTH-FOR-02-URS-0512 </w:t>
            </w:r>
            <w:r w:rsidR="00191FD2" w:rsidRPr="00756E5B">
              <w:rPr>
                <w:rFonts w:ascii="Arial" w:hAnsi="Arial" w:cs="Arial"/>
                <w:sz w:val="14"/>
                <w:szCs w:val="14"/>
                <w:lang w:val="pt-BR"/>
              </w:rPr>
              <w:t>V</w:t>
            </w:r>
            <w:r w:rsidR="003C7926" w:rsidRPr="00756E5B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  <w:r w:rsidR="00756E5B">
              <w:rPr>
                <w:rFonts w:ascii="Arial" w:hAnsi="Arial" w:cs="Arial"/>
                <w:sz w:val="14"/>
                <w:szCs w:val="14"/>
                <w:lang w:val="pt-BR"/>
              </w:rPr>
              <w:t>5</w:t>
            </w:r>
            <w:r w:rsidR="00191FD2" w:rsidRPr="00756E5B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  <w:r w:rsidR="003C7926" w:rsidRPr="00756E5B">
              <w:rPr>
                <w:rFonts w:ascii="Arial" w:hAnsi="Arial" w:cs="Arial"/>
                <w:sz w:val="14"/>
                <w:szCs w:val="14"/>
                <w:lang w:val="pt-BR"/>
              </w:rPr>
              <w:t xml:space="preserve">0 – </w:t>
            </w:r>
            <w:r w:rsidR="00756E5B">
              <w:rPr>
                <w:rFonts w:ascii="Arial" w:hAnsi="Arial" w:cs="Arial"/>
                <w:bCs/>
                <w:sz w:val="14"/>
                <w:szCs w:val="16"/>
                <w:lang w:val="pt-BR"/>
              </w:rPr>
              <w:t>30</w:t>
            </w:r>
            <w:r w:rsidR="003C7926" w:rsidRPr="00756E5B">
              <w:rPr>
                <w:rFonts w:ascii="Arial" w:hAnsi="Arial" w:cs="Arial"/>
                <w:bCs/>
                <w:sz w:val="14"/>
                <w:szCs w:val="16"/>
                <w:lang w:val="pt-BR"/>
              </w:rPr>
              <w:t>/0</w:t>
            </w:r>
            <w:r w:rsidR="00756E5B">
              <w:rPr>
                <w:rFonts w:ascii="Arial" w:hAnsi="Arial" w:cs="Arial"/>
                <w:bCs/>
                <w:sz w:val="14"/>
                <w:szCs w:val="16"/>
                <w:lang w:val="pt-BR"/>
              </w:rPr>
              <w:t>1</w:t>
            </w:r>
            <w:r w:rsidR="003C7926" w:rsidRPr="00756E5B">
              <w:rPr>
                <w:rFonts w:ascii="Arial" w:hAnsi="Arial" w:cs="Arial"/>
                <w:bCs/>
                <w:sz w:val="14"/>
                <w:szCs w:val="16"/>
                <w:lang w:val="pt-BR"/>
              </w:rPr>
              <w:t>/202</w:t>
            </w:r>
            <w:r w:rsidR="00756E5B">
              <w:rPr>
                <w:rFonts w:ascii="Arial" w:hAnsi="Arial" w:cs="Arial"/>
                <w:bCs/>
                <w:sz w:val="14"/>
                <w:szCs w:val="16"/>
                <w:lang w:val="pt-BR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E820" w14:textId="77777777" w:rsidR="00787131" w:rsidRDefault="00787131">
      <w:pPr>
        <w:spacing w:after="0" w:line="240" w:lineRule="auto"/>
      </w:pPr>
      <w:r>
        <w:separator/>
      </w:r>
    </w:p>
  </w:footnote>
  <w:footnote w:type="continuationSeparator" w:id="0">
    <w:p w14:paraId="2719D17E" w14:textId="77777777" w:rsidR="00787131" w:rsidRDefault="0078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9FE8" w14:textId="0A26074E" w:rsidR="00756E5B" w:rsidRDefault="00756E5B" w:rsidP="00756E5B">
    <w:pPr>
      <w:pStyle w:val="Encabezado"/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2E3F2" wp14:editId="3C2676C0">
              <wp:simplePos x="0" y="0"/>
              <wp:positionH relativeFrom="page">
                <wp:posOffset>4657725</wp:posOffset>
              </wp:positionH>
              <wp:positionV relativeFrom="paragraph">
                <wp:posOffset>-112395</wp:posOffset>
              </wp:positionV>
              <wp:extent cx="2228850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54E022" w14:textId="77777777" w:rsidR="00756E5B" w:rsidRPr="005041A2" w:rsidRDefault="00756E5B" w:rsidP="00756E5B">
                          <w:pPr>
                            <w:spacing w:after="0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Administrativo</w:t>
                          </w:r>
                        </w:p>
                        <w:p w14:paraId="54277E53" w14:textId="77777777" w:rsidR="00756E5B" w:rsidRPr="005041A2" w:rsidRDefault="00756E5B" w:rsidP="00756E5B">
                          <w:pP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Dirección de Gestión del Talento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2E3F2" id="Rectángulo 3" o:spid="_x0000_s1026" style="position:absolute;margin-left:366.75pt;margin-top:-8.85pt;width:175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" filled="f" stroked="f" strokeweight="1pt">
              <v:textbox>
                <w:txbxContent>
                  <w:p w14:paraId="7554E022" w14:textId="77777777" w:rsidR="00756E5B" w:rsidRPr="005041A2" w:rsidRDefault="00756E5B" w:rsidP="00756E5B">
                    <w:pPr>
                      <w:spacing w:after="0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Administrativo</w:t>
                    </w:r>
                  </w:p>
                  <w:p w14:paraId="54277E53" w14:textId="77777777" w:rsidR="00756E5B" w:rsidRPr="005041A2" w:rsidRDefault="00756E5B" w:rsidP="00756E5B">
                    <w:pP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Dirección de Gestión del Talento Humano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6C227173" wp14:editId="2D86F0C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50175" cy="1019175"/>
          <wp:effectExtent l="0" t="0" r="3175" b="9525"/>
          <wp:wrapNone/>
          <wp:docPr id="1190466512" name="Imagen 119046651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38"/>
                  <a:stretch/>
                </pic:blipFill>
                <pic:spPr bwMode="auto">
                  <a:xfrm>
                    <a:off x="0" y="0"/>
                    <a:ext cx="775017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90260B" w14:textId="77777777" w:rsidR="00756E5B" w:rsidRDefault="00756E5B" w:rsidP="00756E5B">
    <w:pPr>
      <w:pStyle w:val="Encabezado"/>
    </w:pPr>
  </w:p>
  <w:p w14:paraId="540B98FF" w14:textId="3AC61D4E" w:rsidR="00756E5B" w:rsidRDefault="00756E5B" w:rsidP="00756E5B">
    <w:pPr>
      <w:pStyle w:val="Encabezado"/>
    </w:pPr>
  </w:p>
  <w:p w14:paraId="4C3B72D0" w14:textId="53FB1B3D" w:rsidR="00DC663E" w:rsidRPr="00756E5B" w:rsidRDefault="00DC663E" w:rsidP="00756E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57EF6D80"/>
    <w:multiLevelType w:val="multilevel"/>
    <w:tmpl w:val="08088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5FDB"/>
    <w:multiLevelType w:val="hybridMultilevel"/>
    <w:tmpl w:val="27DEE282"/>
    <w:lvl w:ilvl="0" w:tplc="783AA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7198367">
    <w:abstractNumId w:val="0"/>
  </w:num>
  <w:num w:numId="2" w16cid:durableId="160087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CB"/>
    <w:rsid w:val="000155DA"/>
    <w:rsid w:val="00037C58"/>
    <w:rsid w:val="00050EAB"/>
    <w:rsid w:val="000C1158"/>
    <w:rsid w:val="000C5160"/>
    <w:rsid w:val="00142D24"/>
    <w:rsid w:val="001454C8"/>
    <w:rsid w:val="00156567"/>
    <w:rsid w:val="00164BC2"/>
    <w:rsid w:val="00191FD2"/>
    <w:rsid w:val="001950A3"/>
    <w:rsid w:val="001B0066"/>
    <w:rsid w:val="001C158A"/>
    <w:rsid w:val="001D2057"/>
    <w:rsid w:val="001D3E45"/>
    <w:rsid w:val="0020088F"/>
    <w:rsid w:val="002021E2"/>
    <w:rsid w:val="00241EA9"/>
    <w:rsid w:val="00247453"/>
    <w:rsid w:val="00273593"/>
    <w:rsid w:val="0028720F"/>
    <w:rsid w:val="0029646D"/>
    <w:rsid w:val="002A4513"/>
    <w:rsid w:val="002D7DD4"/>
    <w:rsid w:val="002F1D09"/>
    <w:rsid w:val="00315139"/>
    <w:rsid w:val="00332811"/>
    <w:rsid w:val="00363320"/>
    <w:rsid w:val="003B3786"/>
    <w:rsid w:val="003C7926"/>
    <w:rsid w:val="003F24C7"/>
    <w:rsid w:val="003F5383"/>
    <w:rsid w:val="0040726B"/>
    <w:rsid w:val="00421C69"/>
    <w:rsid w:val="004413A5"/>
    <w:rsid w:val="00463332"/>
    <w:rsid w:val="00464FB8"/>
    <w:rsid w:val="00467B19"/>
    <w:rsid w:val="00492B0E"/>
    <w:rsid w:val="004A12C1"/>
    <w:rsid w:val="004B4B12"/>
    <w:rsid w:val="004D7A23"/>
    <w:rsid w:val="00527A35"/>
    <w:rsid w:val="00530337"/>
    <w:rsid w:val="00547D03"/>
    <w:rsid w:val="0058753F"/>
    <w:rsid w:val="005A4AD2"/>
    <w:rsid w:val="005A566F"/>
    <w:rsid w:val="005E0CDB"/>
    <w:rsid w:val="005F2C8D"/>
    <w:rsid w:val="00603DDF"/>
    <w:rsid w:val="006044DF"/>
    <w:rsid w:val="00642996"/>
    <w:rsid w:val="0065265F"/>
    <w:rsid w:val="00682ADB"/>
    <w:rsid w:val="00684F1C"/>
    <w:rsid w:val="006B7E5E"/>
    <w:rsid w:val="006E0AFA"/>
    <w:rsid w:val="006E3427"/>
    <w:rsid w:val="00737C8B"/>
    <w:rsid w:val="00740D2E"/>
    <w:rsid w:val="007541F4"/>
    <w:rsid w:val="00755519"/>
    <w:rsid w:val="00756E5B"/>
    <w:rsid w:val="00757CB6"/>
    <w:rsid w:val="00764DF5"/>
    <w:rsid w:val="00777FDE"/>
    <w:rsid w:val="0078134C"/>
    <w:rsid w:val="00787131"/>
    <w:rsid w:val="007924C6"/>
    <w:rsid w:val="00797601"/>
    <w:rsid w:val="007A0A6C"/>
    <w:rsid w:val="007D37D4"/>
    <w:rsid w:val="007E58EB"/>
    <w:rsid w:val="00835050"/>
    <w:rsid w:val="008634FB"/>
    <w:rsid w:val="008A2B9F"/>
    <w:rsid w:val="008A37ED"/>
    <w:rsid w:val="008C2C10"/>
    <w:rsid w:val="008D1ECD"/>
    <w:rsid w:val="008E673A"/>
    <w:rsid w:val="008E7F7C"/>
    <w:rsid w:val="0090265C"/>
    <w:rsid w:val="00912252"/>
    <w:rsid w:val="00914AEC"/>
    <w:rsid w:val="0092116D"/>
    <w:rsid w:val="00946F36"/>
    <w:rsid w:val="00950170"/>
    <w:rsid w:val="0099746B"/>
    <w:rsid w:val="009A5DDB"/>
    <w:rsid w:val="009B6AA7"/>
    <w:rsid w:val="009C0FBF"/>
    <w:rsid w:val="009C6518"/>
    <w:rsid w:val="00A100FA"/>
    <w:rsid w:val="00A10760"/>
    <w:rsid w:val="00A27E44"/>
    <w:rsid w:val="00A57D50"/>
    <w:rsid w:val="00A7394F"/>
    <w:rsid w:val="00A948D8"/>
    <w:rsid w:val="00A94E58"/>
    <w:rsid w:val="00AB245C"/>
    <w:rsid w:val="00AB3623"/>
    <w:rsid w:val="00AC2456"/>
    <w:rsid w:val="00AE21BE"/>
    <w:rsid w:val="00AE301D"/>
    <w:rsid w:val="00AF5633"/>
    <w:rsid w:val="00B247EC"/>
    <w:rsid w:val="00B52A05"/>
    <w:rsid w:val="00B53248"/>
    <w:rsid w:val="00B91696"/>
    <w:rsid w:val="00B974D6"/>
    <w:rsid w:val="00BA5ECB"/>
    <w:rsid w:val="00BB1AB7"/>
    <w:rsid w:val="00BB734B"/>
    <w:rsid w:val="00BD3480"/>
    <w:rsid w:val="00C15CBE"/>
    <w:rsid w:val="00C3185F"/>
    <w:rsid w:val="00C346A2"/>
    <w:rsid w:val="00C515DD"/>
    <w:rsid w:val="00C60A19"/>
    <w:rsid w:val="00C622B2"/>
    <w:rsid w:val="00C92DAB"/>
    <w:rsid w:val="00CA5D83"/>
    <w:rsid w:val="00CB1628"/>
    <w:rsid w:val="00CB3852"/>
    <w:rsid w:val="00CD6E25"/>
    <w:rsid w:val="00CE3FF7"/>
    <w:rsid w:val="00D30956"/>
    <w:rsid w:val="00D52BA1"/>
    <w:rsid w:val="00D53DF7"/>
    <w:rsid w:val="00D640BA"/>
    <w:rsid w:val="00D73444"/>
    <w:rsid w:val="00D81D10"/>
    <w:rsid w:val="00D962EE"/>
    <w:rsid w:val="00DA0BDB"/>
    <w:rsid w:val="00DC242A"/>
    <w:rsid w:val="00DC663E"/>
    <w:rsid w:val="00DD2AFB"/>
    <w:rsid w:val="00DE1E97"/>
    <w:rsid w:val="00E25649"/>
    <w:rsid w:val="00E47548"/>
    <w:rsid w:val="00E5694D"/>
    <w:rsid w:val="00E62024"/>
    <w:rsid w:val="00E64696"/>
    <w:rsid w:val="00E80CDA"/>
    <w:rsid w:val="00E82111"/>
    <w:rsid w:val="00E97DCA"/>
    <w:rsid w:val="00EB5F7A"/>
    <w:rsid w:val="00EC11B3"/>
    <w:rsid w:val="00EC2A3D"/>
    <w:rsid w:val="00EC56F0"/>
    <w:rsid w:val="00ED691E"/>
    <w:rsid w:val="00EDB85E"/>
    <w:rsid w:val="00EE3864"/>
    <w:rsid w:val="00EE61A4"/>
    <w:rsid w:val="00EF4E75"/>
    <w:rsid w:val="00F34B2B"/>
    <w:rsid w:val="00F40861"/>
    <w:rsid w:val="00F81682"/>
    <w:rsid w:val="00F85C82"/>
    <w:rsid w:val="00FA2A6E"/>
    <w:rsid w:val="00FB5FE3"/>
    <w:rsid w:val="00FC7542"/>
    <w:rsid w:val="03EF0A81"/>
    <w:rsid w:val="04338B30"/>
    <w:rsid w:val="05B2A23C"/>
    <w:rsid w:val="07277435"/>
    <w:rsid w:val="08C7ACAF"/>
    <w:rsid w:val="09DDA9D2"/>
    <w:rsid w:val="09FC52DD"/>
    <w:rsid w:val="0A2B5738"/>
    <w:rsid w:val="0D77AC01"/>
    <w:rsid w:val="0E24C0E3"/>
    <w:rsid w:val="0FC8ADD5"/>
    <w:rsid w:val="113A35A1"/>
    <w:rsid w:val="11854E3F"/>
    <w:rsid w:val="118DCFA2"/>
    <w:rsid w:val="13410F30"/>
    <w:rsid w:val="15702653"/>
    <w:rsid w:val="16734DFC"/>
    <w:rsid w:val="1674CA0E"/>
    <w:rsid w:val="170EC3D3"/>
    <w:rsid w:val="1834D685"/>
    <w:rsid w:val="18C09563"/>
    <w:rsid w:val="1933BD2C"/>
    <w:rsid w:val="19D0A6E6"/>
    <w:rsid w:val="1E2ED8DA"/>
    <w:rsid w:val="1F2BEE1C"/>
    <w:rsid w:val="203C1494"/>
    <w:rsid w:val="224252A2"/>
    <w:rsid w:val="22AF258C"/>
    <w:rsid w:val="22CA4627"/>
    <w:rsid w:val="23B3D5E3"/>
    <w:rsid w:val="24113D1C"/>
    <w:rsid w:val="241B6D37"/>
    <w:rsid w:val="2456E9FC"/>
    <w:rsid w:val="24714A59"/>
    <w:rsid w:val="29423E7F"/>
    <w:rsid w:val="2975385F"/>
    <w:rsid w:val="2B243F57"/>
    <w:rsid w:val="2B6A3265"/>
    <w:rsid w:val="2C1330B8"/>
    <w:rsid w:val="2CAB5F8E"/>
    <w:rsid w:val="2D0602C6"/>
    <w:rsid w:val="2D994988"/>
    <w:rsid w:val="2DF1D833"/>
    <w:rsid w:val="2E32B66D"/>
    <w:rsid w:val="2E472FEF"/>
    <w:rsid w:val="305DF9BA"/>
    <w:rsid w:val="315E4605"/>
    <w:rsid w:val="31D973E9"/>
    <w:rsid w:val="33108D4D"/>
    <w:rsid w:val="3385A4DF"/>
    <w:rsid w:val="341DFC42"/>
    <w:rsid w:val="3631B728"/>
    <w:rsid w:val="363A188C"/>
    <w:rsid w:val="37777346"/>
    <w:rsid w:val="37FF3CEF"/>
    <w:rsid w:val="397703C3"/>
    <w:rsid w:val="3A074432"/>
    <w:rsid w:val="3A1F6FC9"/>
    <w:rsid w:val="3AFCA192"/>
    <w:rsid w:val="3B880A3C"/>
    <w:rsid w:val="3C2D594E"/>
    <w:rsid w:val="3CA3EE5B"/>
    <w:rsid w:val="3DCD1269"/>
    <w:rsid w:val="3E3FBEBC"/>
    <w:rsid w:val="3FDB8F1D"/>
    <w:rsid w:val="409FA112"/>
    <w:rsid w:val="42C64C65"/>
    <w:rsid w:val="4305BF4F"/>
    <w:rsid w:val="4393258D"/>
    <w:rsid w:val="43AE4DFC"/>
    <w:rsid w:val="43C6DE21"/>
    <w:rsid w:val="43C7BF19"/>
    <w:rsid w:val="446F8D78"/>
    <w:rsid w:val="468295C4"/>
    <w:rsid w:val="470BD39B"/>
    <w:rsid w:val="47227588"/>
    <w:rsid w:val="474C69D4"/>
    <w:rsid w:val="493973CD"/>
    <w:rsid w:val="4AC89318"/>
    <w:rsid w:val="4AD9403D"/>
    <w:rsid w:val="4AFC623C"/>
    <w:rsid w:val="4B2A9BEA"/>
    <w:rsid w:val="4B4F6293"/>
    <w:rsid w:val="4BF5E6AB"/>
    <w:rsid w:val="4C71148F"/>
    <w:rsid w:val="4DDB9684"/>
    <w:rsid w:val="4FE268C6"/>
    <w:rsid w:val="539DDD32"/>
    <w:rsid w:val="549262EA"/>
    <w:rsid w:val="55E83AE7"/>
    <w:rsid w:val="582500AD"/>
    <w:rsid w:val="59931223"/>
    <w:rsid w:val="5A052B6B"/>
    <w:rsid w:val="5A5B4B33"/>
    <w:rsid w:val="5C28D384"/>
    <w:rsid w:val="5D8332CD"/>
    <w:rsid w:val="5DC63735"/>
    <w:rsid w:val="5E9B9DC9"/>
    <w:rsid w:val="5EA3F333"/>
    <w:rsid w:val="5FDCC6D5"/>
    <w:rsid w:val="609973B1"/>
    <w:rsid w:val="6114844F"/>
    <w:rsid w:val="61BA162E"/>
    <w:rsid w:val="649616E2"/>
    <w:rsid w:val="6504DF8C"/>
    <w:rsid w:val="68F570B2"/>
    <w:rsid w:val="6901287F"/>
    <w:rsid w:val="69894D9A"/>
    <w:rsid w:val="69B96010"/>
    <w:rsid w:val="6B334F9C"/>
    <w:rsid w:val="6B3FC18A"/>
    <w:rsid w:val="6DC8D642"/>
    <w:rsid w:val="6E7DFB29"/>
    <w:rsid w:val="705B14AE"/>
    <w:rsid w:val="71608354"/>
    <w:rsid w:val="71B09D87"/>
    <w:rsid w:val="72C2E173"/>
    <w:rsid w:val="72DB7FD6"/>
    <w:rsid w:val="73221C8E"/>
    <w:rsid w:val="73EA7D6A"/>
    <w:rsid w:val="74FDB888"/>
    <w:rsid w:val="752BE64C"/>
    <w:rsid w:val="774DE493"/>
    <w:rsid w:val="777952DA"/>
    <w:rsid w:val="78715D4E"/>
    <w:rsid w:val="78D28E14"/>
    <w:rsid w:val="79BC6204"/>
    <w:rsid w:val="79CCE1AC"/>
    <w:rsid w:val="7A254E5A"/>
    <w:rsid w:val="7ABE6130"/>
    <w:rsid w:val="7AD885AC"/>
    <w:rsid w:val="7B7F09C4"/>
    <w:rsid w:val="7C26D848"/>
    <w:rsid w:val="7C691F8F"/>
    <w:rsid w:val="7D01B1C8"/>
    <w:rsid w:val="7D307916"/>
    <w:rsid w:val="7D36F831"/>
    <w:rsid w:val="7D889670"/>
    <w:rsid w:val="7DCED233"/>
    <w:rsid w:val="7E10266E"/>
    <w:rsid w:val="7E95E311"/>
    <w:rsid w:val="7E9D8229"/>
    <w:rsid w:val="7F1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F9984"/>
  <w15:chartTrackingRefBased/>
  <w15:docId w15:val="{C797B430-C3B6-49ED-983D-89494C96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A5EC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A5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ECB"/>
  </w:style>
  <w:style w:type="paragraph" w:styleId="Piedepgina">
    <w:name w:val="footer"/>
    <w:basedOn w:val="Normal"/>
    <w:link w:val="PiedepginaCar"/>
    <w:uiPriority w:val="99"/>
    <w:unhideWhenUsed/>
    <w:rsid w:val="00BA5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ECB"/>
  </w:style>
  <w:style w:type="paragraph" w:styleId="Prrafodelista">
    <w:name w:val="List Paragraph"/>
    <w:basedOn w:val="Normal"/>
    <w:uiPriority w:val="34"/>
    <w:qFormat/>
    <w:rsid w:val="00FC75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A27E44"/>
  </w:style>
  <w:style w:type="paragraph" w:styleId="Textodeglobo">
    <w:name w:val="Balloon Text"/>
    <w:basedOn w:val="Normal"/>
    <w:link w:val="TextodegloboCar"/>
    <w:uiPriority w:val="99"/>
    <w:semiHidden/>
    <w:unhideWhenUsed/>
    <w:rsid w:val="00B5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gth.mep.go.cr/inducc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2223D9FE3BE94B88A98C84D1A8785A" ma:contentTypeVersion="10" ma:contentTypeDescription="Crear nuevo documento." ma:contentTypeScope="" ma:versionID="a8dcdedfae152a099e1331b8baea0d81">
  <xsd:schema xmlns:xsd="http://www.w3.org/2001/XMLSchema" xmlns:xs="http://www.w3.org/2001/XMLSchema" xmlns:p="http://schemas.microsoft.com/office/2006/metadata/properties" xmlns:ns2="c8f01acc-aa50-4b52-b870-517e362af5ef" xmlns:ns3="69a7a7d8-8511-4350-98ca-c36e84aa05cf" targetNamespace="http://schemas.microsoft.com/office/2006/metadata/properties" ma:root="true" ma:fieldsID="00d694aae35ecca3db440361691b05e5" ns2:_="" ns3:_="">
    <xsd:import namespace="c8f01acc-aa50-4b52-b870-517e362af5ef"/>
    <xsd:import namespace="69a7a7d8-8511-4350-98ca-c36e84aa0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01acc-aa50-4b52-b870-517e362af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a7d8-8511-4350-98ca-c36e84aa0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4686b9f-bdc1-4b6e-8eef-01770e87614f}" ma:internalName="TaxCatchAll" ma:showField="CatchAllData" ma:web="69a7a7d8-8511-4350-98ca-c36e84aa0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f01acc-aa50-4b52-b870-517e362af5ef">
      <Terms xmlns="http://schemas.microsoft.com/office/infopath/2007/PartnerControls"/>
    </lcf76f155ced4ddcb4097134ff3c332f>
    <TaxCatchAll xmlns="69a7a7d8-8511-4350-98ca-c36e84aa05cf" xsi:nil="true"/>
  </documentManagement>
</p:properties>
</file>

<file path=customXml/itemProps1.xml><?xml version="1.0" encoding="utf-8"?>
<ds:datastoreItem xmlns:ds="http://schemas.openxmlformats.org/officeDocument/2006/customXml" ds:itemID="{2AA775AC-B3D4-49DF-9692-64FFF27DA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01acc-aa50-4b52-b870-517e362af5ef"/>
    <ds:schemaRef ds:uri="69a7a7d8-8511-4350-98ca-c36e84aa0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DBAC2-8A0A-4BCD-B156-007263E43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F8A45-B9BD-42AA-ADB9-DE5FD5F34B25}">
  <ds:schemaRefs>
    <ds:schemaRef ds:uri="http://schemas.microsoft.com/office/2006/metadata/properties"/>
    <ds:schemaRef ds:uri="http://schemas.microsoft.com/office/infopath/2007/PartnerControls"/>
    <ds:schemaRef ds:uri="c8f01acc-aa50-4b52-b870-517e362af5ef"/>
    <ds:schemaRef ds:uri="69a7a7d8-8511-4350-98ca-c36e84aa05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Morera Jiménez</dc:creator>
  <cp:keywords/>
  <dc:description/>
  <cp:lastModifiedBy>Merlyn Francini Mena Orozco</cp:lastModifiedBy>
  <cp:revision>7</cp:revision>
  <dcterms:created xsi:type="dcterms:W3CDTF">2023-07-19T19:29:00Z</dcterms:created>
  <dcterms:modified xsi:type="dcterms:W3CDTF">2024-01-30T20:13:00Z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0x010100B02223D9FE3BE94B88A98C84D1A8785A</vt:lpwstr>
  </property>
  <property fmtid="{D5CDD505-2E9C-101B-9397-08002B2CF9AE}" pid="3" name="MediaServiceImageTags">
    <vt:lpwstr/>
  </property>
</Properties>
</file>